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ind w:left="-567" w:right="39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-154305</wp:posOffset>
            </wp:positionH>
            <wp:positionV relativeFrom="paragraph">
              <wp:posOffset>-32385</wp:posOffset>
            </wp:positionV>
            <wp:extent cx="10199370" cy="721042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9370" cy="721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orient="landscape" w:w="16838" w:h="11906"/>
          <w:pgMar w:left="630" w:right="567" w:gutter="0" w:header="0" w:top="345" w:footer="0" w:bottom="341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0"/>
        <w:ind w:left="-567" w:right="397"/>
        <w:jc w:val="center"/>
        <w:rPr>
          <w:rFonts w:ascii="Times New Roman" w:hAnsi="Times New Roman" w:cs="Times New Roman"/>
          <w:b/>
          <w:color w:themeColor="text1" w:val="000000"/>
          <w:sz w:val="28"/>
          <w:szCs w:val="28"/>
        </w:rPr>
      </w:pPr>
      <w:r>
        <w:rPr/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СОДЕРЖАНИЕ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 Аналитическая часть</w:t>
      </w:r>
    </w:p>
    <w:p>
      <w:pPr>
        <w:pStyle w:val="Normal"/>
        <w:spacing w:before="0" w:after="86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1.1. Общие сведения о дошкольном образовательном учреждении</w:t>
      </w:r>
    </w:p>
    <w:p>
      <w:pPr>
        <w:pStyle w:val="Normal"/>
        <w:spacing w:before="0" w:after="86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1.2. Оценка системы управления </w:t>
      </w:r>
    </w:p>
    <w:p>
      <w:pPr>
        <w:pStyle w:val="Normal"/>
        <w:spacing w:before="0" w:after="86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1.3. Оценка результатов образовательной деятельности</w:t>
      </w:r>
    </w:p>
    <w:p>
      <w:pPr>
        <w:pStyle w:val="Normal"/>
        <w:spacing w:before="0" w:after="86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1.4. Оценка состояния здоровья воспитанников</w:t>
      </w:r>
    </w:p>
    <w:p>
      <w:pPr>
        <w:pStyle w:val="Normal"/>
        <w:spacing w:before="0" w:after="86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1.5. Оценка участия педагогов и воспитанников в конкурсах</w:t>
      </w:r>
    </w:p>
    <w:p>
      <w:pPr>
        <w:pStyle w:val="Normal"/>
        <w:spacing w:before="0" w:after="86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1.6. Оценка качества кадрового потенциала</w:t>
      </w:r>
    </w:p>
    <w:p>
      <w:pPr>
        <w:pStyle w:val="Normal"/>
        <w:spacing w:before="0" w:after="86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1.7. Оценка работы с социумом</w:t>
      </w:r>
    </w:p>
    <w:p>
      <w:pPr>
        <w:pStyle w:val="Normal"/>
        <w:spacing w:before="0" w:after="86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1.8. Оценка системы работы с родителями</w:t>
      </w:r>
    </w:p>
    <w:p>
      <w:pPr>
        <w:pStyle w:val="Normal"/>
        <w:spacing w:lineRule="auto" w:line="240" w:before="0" w:after="86"/>
        <w:ind w:hanging="0" w:left="0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1.9. Оценка материально-технической базы</w:t>
      </w:r>
    </w:p>
    <w:p>
      <w:pPr>
        <w:pStyle w:val="Normal"/>
        <w:spacing w:lineRule="auto" w:line="240" w:before="0" w:after="86"/>
        <w:ind w:hanging="0" w:lef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Autospacing="1"/>
        <w:ind w:hanging="0" w:left="0"/>
        <w:rPr/>
      </w:pPr>
      <w:r>
        <w:rPr>
          <w:rFonts w:cs="Times New Roman" w:ascii="Times New Roman" w:hAnsi="Times New Roman"/>
          <w:sz w:val="28"/>
          <w:szCs w:val="28"/>
        </w:rPr>
        <w:t>2.  Результаты анализа показателей деятельности</w:t>
      </w:r>
    </w:p>
    <w:p>
      <w:pPr>
        <w:pStyle w:val="Normal"/>
        <w:spacing w:before="0" w:after="166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>2.1. Эффективность работы ДОУ</w:t>
      </w:r>
    </w:p>
    <w:p>
      <w:pPr>
        <w:pStyle w:val="Normal"/>
        <w:spacing w:before="0" w:after="166"/>
        <w:rPr/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>2.2. Улучшение качества работы ДОУ (за последние три года)</w:t>
      </w:r>
    </w:p>
    <w:p>
      <w:pPr>
        <w:pStyle w:val="Normal"/>
        <w:spacing w:before="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Вывод </w:t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color w:themeColor="accent6" w:themeShade="bf" w:val="E36C0A"/>
          <w:sz w:val="80"/>
          <w:szCs w:val="80"/>
        </w:rPr>
      </w:pPr>
      <w:r>
        <w:rPr>
          <w:rFonts w:cs="Times New Roman" w:ascii="Times New Roman" w:hAnsi="Times New Roman"/>
          <w:b/>
          <w:color w:themeColor="accent6" w:themeShade="bf" w:val="E36C0A"/>
          <w:sz w:val="80"/>
          <w:szCs w:val="80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C00000"/>
          <w:sz w:val="80"/>
          <w:szCs w:val="80"/>
        </w:rPr>
      </w:pPr>
      <w:r>
        <w:rPr>
          <w:rFonts w:cs="Times New Roman" w:ascii="Times New Roman" w:hAnsi="Times New Roman"/>
          <w:b/>
          <w:color w:val="C00000"/>
          <w:sz w:val="80"/>
          <w:szCs w:val="80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C00000"/>
          <w:sz w:val="80"/>
          <w:szCs w:val="80"/>
        </w:rPr>
      </w:pPr>
      <w:r>
        <w:rPr>
          <w:rFonts w:cs="Times New Roman" w:ascii="Times New Roman" w:hAnsi="Times New Roman"/>
          <w:b/>
          <w:color w:val="C00000"/>
          <w:sz w:val="80"/>
          <w:szCs w:val="80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C00000"/>
          <w:sz w:val="80"/>
          <w:szCs w:val="80"/>
        </w:rPr>
      </w:pPr>
      <w:r>
        <w:rPr>
          <w:rFonts w:cs="Times New Roman" w:ascii="Times New Roman" w:hAnsi="Times New Roman"/>
          <w:b/>
          <w:color w:val="C00000"/>
          <w:sz w:val="80"/>
          <w:szCs w:val="80"/>
          <w:lang w:val="en-US"/>
        </w:rPr>
        <w:t>I</w:t>
      </w:r>
      <w:r>
        <w:rPr>
          <w:rFonts w:cs="Times New Roman" w:ascii="Times New Roman" w:hAnsi="Times New Roman"/>
          <w:b/>
          <w:color w:val="C00000"/>
          <w:sz w:val="80"/>
          <w:szCs w:val="80"/>
        </w:rPr>
        <w:t xml:space="preserve">   ЧАСТЬ</w:t>
      </w:r>
    </w:p>
    <w:p>
      <w:pPr>
        <w:pStyle w:val="Normal"/>
        <w:jc w:val="center"/>
        <w:rPr>
          <w:rFonts w:ascii="Times New Roman" w:hAnsi="Times New Roman" w:cs="Times New Roman"/>
          <w:b/>
          <w:color w:val="C00000"/>
          <w:sz w:val="80"/>
          <w:szCs w:val="80"/>
        </w:rPr>
      </w:pPr>
      <w:r>
        <w:rPr>
          <w:rFonts w:cs="Times New Roman" w:ascii="Times New Roman" w:hAnsi="Times New Roman"/>
          <w:b/>
          <w:color w:val="C00000"/>
          <w:sz w:val="80"/>
          <w:szCs w:val="80"/>
        </w:rPr>
        <w:t>АНАЛИТИЧЕСКАЯ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cs="Times New Roman" w:ascii="Times New Roman" w:hAnsi="Times New Roman"/>
          <w:b/>
          <w:color w:val="C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cs="Times New Roman" w:ascii="Times New Roman" w:hAnsi="Times New Roman"/>
          <w:b/>
          <w:color w:val="C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cs="Times New Roman" w:ascii="Times New Roman" w:hAnsi="Times New Roman"/>
          <w:b/>
          <w:color w:val="C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cs="Times New Roman" w:ascii="Times New Roman" w:hAnsi="Times New Roman"/>
          <w:b/>
          <w:color w:val="C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cs="Times New Roman" w:ascii="Times New Roman" w:hAnsi="Times New Roman"/>
          <w:b/>
          <w:color w:val="C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ОБЩИЕ СВЕДЕНИЯ О ДОШКОЛЬНОЙ ОБРАЗОВАТЕЛЬНОЙ ОРГАНИЗАЦИИ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</w:r>
    </w:p>
    <w:tbl>
      <w:tblPr>
        <w:tblStyle w:val="a3"/>
        <w:tblW w:w="144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061"/>
        <w:gridCol w:w="8363"/>
      </w:tblGrid>
      <w:tr>
        <w:trPr/>
        <w:tc>
          <w:tcPr>
            <w:tcW w:w="606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Наименование городского поселения (муниципального района)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3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г. Вичуга Ивановской области</w:t>
            </w:r>
          </w:p>
        </w:tc>
      </w:tr>
      <w:tr>
        <w:trPr/>
        <w:tc>
          <w:tcPr>
            <w:tcW w:w="606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Полное наименование дошкольной образовательной организации – юридического лица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3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муниципальное бюджетное дошкольное образовательное учреждение детский сад № 5 «Ромашка» городского округа Вичуга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(сокращенное наименование: МБДОУ д/с № 5)</w:t>
            </w:r>
          </w:p>
        </w:tc>
      </w:tr>
      <w:tr>
        <w:trPr/>
        <w:tc>
          <w:tcPr>
            <w:tcW w:w="606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Полный юридический адрес дошкольной образовательной организации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83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155331, Ивановская область, г. Вичуга, ул. Н.П. Куликовой, д. 14</w:t>
            </w:r>
          </w:p>
        </w:tc>
      </w:tr>
      <w:tr>
        <w:trPr/>
        <w:tc>
          <w:tcPr>
            <w:tcW w:w="606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Контакты ДОО: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Телефон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E-mail</w:t>
            </w:r>
          </w:p>
        </w:tc>
        <w:tc>
          <w:tcPr>
            <w:tcW w:w="83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8(49354)2-14-01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vichugads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5@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yandex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ru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606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Руководитель ДОО: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Телефон:</w:t>
            </w:r>
          </w:p>
        </w:tc>
        <w:tc>
          <w:tcPr>
            <w:tcW w:w="83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Заведующий: Сиялова Ольга Павловна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8(49354)2-14-01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06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Лицензия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3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 19.05.2017 г. №1960, серия 37Л01 №0001510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360"/>
        <w:ind w:hanging="0" w:left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КЛЮЧЕВЫЕ ПОКАЗАТЕЛИ И ХАРАКТЕРИСТИКИ МБДОУ д/с № 5</w:t>
      </w:r>
    </w:p>
    <w:p>
      <w:pPr>
        <w:pStyle w:val="ListParagraph"/>
        <w:spacing w:lineRule="auto" w:line="360" w:before="0" w:after="0"/>
        <w:ind w:left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№ 1</w:t>
      </w:r>
    </w:p>
    <w:p>
      <w:pPr>
        <w:pStyle w:val="ListParagraph"/>
        <w:numPr>
          <w:ilvl w:val="1"/>
          <w:numId w:val="1"/>
        </w:numPr>
        <w:spacing w:lineRule="auto" w:line="360"/>
        <w:ind w:hanging="0"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Характеристика контингента</w:t>
      </w:r>
    </w:p>
    <w:tbl>
      <w:tblPr>
        <w:tblStyle w:val="a3"/>
        <w:tblW w:w="1431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17"/>
        <w:gridCol w:w="1082"/>
        <w:gridCol w:w="1084"/>
        <w:gridCol w:w="1210"/>
        <w:gridCol w:w="842"/>
        <w:gridCol w:w="993"/>
        <w:gridCol w:w="1274"/>
        <w:gridCol w:w="1704"/>
        <w:gridCol w:w="852"/>
        <w:gridCol w:w="849"/>
        <w:gridCol w:w="1134"/>
        <w:gridCol w:w="1275"/>
      </w:tblGrid>
      <w:tr>
        <w:trPr>
          <w:trHeight w:val="775" w:hRule="atLeast"/>
          <w:cantSplit w:val="true"/>
        </w:trPr>
        <w:tc>
          <w:tcPr>
            <w:tcW w:w="2017" w:type="dxa"/>
            <w:vMerge w:val="restart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Возраст</w:t>
            </w:r>
          </w:p>
        </w:tc>
        <w:tc>
          <w:tcPr>
            <w:tcW w:w="1082" w:type="dxa"/>
            <w:vMerge w:val="restart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Кол-во воспитанников из неполных</w:t>
            </w: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семей</w:t>
            </w:r>
          </w:p>
        </w:tc>
        <w:tc>
          <w:tcPr>
            <w:tcW w:w="1084" w:type="dxa"/>
            <w:vMerge w:val="restart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Кол-во детей-сирот, детей, переданных под опеку, попечительство</w:t>
            </w:r>
          </w:p>
        </w:tc>
        <w:tc>
          <w:tcPr>
            <w:tcW w:w="1210" w:type="dxa"/>
            <w:vMerge w:val="restart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Кол-во детей, в семьях которых один/оба родителя имеют высшее образование</w:t>
            </w:r>
          </w:p>
        </w:tc>
        <w:tc>
          <w:tcPr>
            <w:tcW w:w="4813" w:type="dxa"/>
            <w:gridSpan w:val="4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13" w:right="11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Мальчики</w:t>
            </w:r>
          </w:p>
        </w:tc>
        <w:tc>
          <w:tcPr>
            <w:tcW w:w="4110" w:type="dxa"/>
            <w:gridSpan w:val="4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Девочки</w:t>
            </w:r>
          </w:p>
        </w:tc>
      </w:tr>
      <w:tr>
        <w:trPr>
          <w:trHeight w:val="693" w:hRule="atLeast"/>
          <w:cantSplit w:val="true"/>
        </w:trPr>
        <w:tc>
          <w:tcPr>
            <w:tcW w:w="2017" w:type="dxa"/>
            <w:vMerge w:val="continue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82" w:type="dxa"/>
            <w:vMerge w:val="continue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84" w:type="dxa"/>
            <w:vMerge w:val="continue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10" w:type="dxa"/>
            <w:vMerge w:val="continue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2" w:type="dxa"/>
            <w:vMerge w:val="restart"/>
            <w:tcBorders/>
            <w:shd w:color="auto" w:fill="C2D69B" w:themeFill="accent3" w:themeFillTint="99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3971" w:type="dxa"/>
            <w:gridSpan w:val="3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 том числе</w:t>
            </w:r>
          </w:p>
        </w:tc>
        <w:tc>
          <w:tcPr>
            <w:tcW w:w="852" w:type="dxa"/>
            <w:vMerge w:val="restart"/>
            <w:tcBorders/>
            <w:shd w:color="auto" w:fill="C2D69B" w:themeFill="accent3" w:themeFillTint="99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58" w:type="dxa"/>
            <w:gridSpan w:val="3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 том числе</w:t>
            </w:r>
          </w:p>
        </w:tc>
      </w:tr>
      <w:tr>
        <w:trPr>
          <w:trHeight w:val="2163" w:hRule="atLeast"/>
          <w:cantSplit w:val="true"/>
        </w:trPr>
        <w:tc>
          <w:tcPr>
            <w:tcW w:w="2017" w:type="dxa"/>
            <w:vMerge w:val="continue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82" w:type="dxa"/>
            <w:vMerge w:val="continue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84" w:type="dxa"/>
            <w:vMerge w:val="continue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10" w:type="dxa"/>
            <w:vMerge w:val="continue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2" w:type="dxa"/>
            <w:vMerge w:val="continue"/>
            <w:tcBorders/>
            <w:shd w:color="auto" w:fill="C2D69B" w:themeFill="accent3" w:themeFillTint="99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3" w:type="dxa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Талантливые/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одаренные</w:t>
            </w:r>
          </w:p>
        </w:tc>
        <w:tc>
          <w:tcPr>
            <w:tcW w:w="1274" w:type="dxa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Со спец. потребностями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(ОВЗ, инвалид)</w:t>
            </w:r>
          </w:p>
        </w:tc>
        <w:tc>
          <w:tcPr>
            <w:tcW w:w="1704" w:type="dxa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Спец. поддержка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(трудности в поведении,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общении)</w:t>
            </w:r>
          </w:p>
        </w:tc>
        <w:tc>
          <w:tcPr>
            <w:tcW w:w="852" w:type="dxa"/>
            <w:vMerge w:val="continue"/>
            <w:tcBorders/>
            <w:shd w:color="auto" w:fill="C2D69B" w:themeFill="accent3" w:themeFillTint="99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Талантливые/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одаренные</w:t>
            </w:r>
          </w:p>
        </w:tc>
        <w:tc>
          <w:tcPr>
            <w:tcW w:w="1134" w:type="dxa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Со спец. потребностями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(ОВЗ)</w:t>
            </w:r>
          </w:p>
        </w:tc>
        <w:tc>
          <w:tcPr>
            <w:tcW w:w="1275" w:type="dxa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Спец. поддержка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(трудности в поведении, общении)</w:t>
            </w:r>
          </w:p>
        </w:tc>
      </w:tr>
      <w:tr>
        <w:trPr>
          <w:trHeight w:val="567" w:hRule="exact"/>
        </w:trPr>
        <w:tc>
          <w:tcPr>
            <w:tcW w:w="2017" w:type="dxa"/>
            <w:tcBorders/>
            <w:shd w:color="auto" w:fill="CCC0D9" w:themeFill="accent4" w:themeFillTint="66" w:val="clea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до 1 года</w:t>
            </w:r>
          </w:p>
        </w:tc>
        <w:tc>
          <w:tcPr>
            <w:tcW w:w="108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0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1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42" w:type="dxa"/>
            <w:tcBorders/>
            <w:shd w:color="auto" w:fill="CCC0D9" w:themeFill="accent4" w:themeFillTint="66" w:val="clea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7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70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52" w:type="dxa"/>
            <w:tcBorders/>
            <w:shd w:color="auto" w:fill="CCC0D9" w:themeFill="accent4" w:themeFillTint="66" w:val="clea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  <w:cantSplit w:val="true"/>
        </w:trPr>
        <w:tc>
          <w:tcPr>
            <w:tcW w:w="2017" w:type="dxa"/>
            <w:tcBorders/>
            <w:shd w:color="auto" w:fill="CCC0D9" w:themeFill="accent4" w:themeFillTint="66" w:val="clea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1-3 года</w:t>
            </w:r>
          </w:p>
        </w:tc>
        <w:tc>
          <w:tcPr>
            <w:tcW w:w="108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10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0</w:t>
            </w:r>
          </w:p>
        </w:tc>
        <w:tc>
          <w:tcPr>
            <w:tcW w:w="121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842" w:type="dxa"/>
            <w:tcBorders/>
            <w:shd w:color="auto" w:fill="CCC0D9" w:themeFill="accent4" w:themeFillTint="66" w:val="clea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7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70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52" w:type="dxa"/>
            <w:tcBorders/>
            <w:shd w:color="auto" w:fill="CCC0D9" w:themeFill="accent4" w:themeFillTint="66" w:val="clea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</w:tr>
      <w:tr>
        <w:trPr>
          <w:trHeight w:val="567" w:hRule="exact"/>
        </w:trPr>
        <w:tc>
          <w:tcPr>
            <w:tcW w:w="2017" w:type="dxa"/>
            <w:tcBorders/>
            <w:shd w:color="auto" w:fill="CCC0D9" w:themeFill="accent4" w:themeFillTint="66" w:val="clea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3-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лет</w:t>
            </w:r>
          </w:p>
        </w:tc>
        <w:tc>
          <w:tcPr>
            <w:tcW w:w="108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12</w:t>
            </w:r>
          </w:p>
        </w:tc>
        <w:tc>
          <w:tcPr>
            <w:tcW w:w="10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1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26</w:t>
            </w:r>
          </w:p>
        </w:tc>
        <w:tc>
          <w:tcPr>
            <w:tcW w:w="842" w:type="dxa"/>
            <w:tcBorders/>
            <w:shd w:color="auto" w:fill="CCC0D9" w:themeFill="accent4" w:themeFillTint="66" w:val="clea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37</w:t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7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170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52" w:type="dxa"/>
            <w:tcBorders/>
            <w:shd w:color="auto" w:fill="CCC0D9" w:themeFill="accent4" w:themeFillTint="66" w:val="clea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8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352" w:leader="none"/>
                <w:tab w:val="center" w:pos="460" w:leader="none"/>
              </w:tabs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2017" w:type="dxa"/>
            <w:tcBorders/>
            <w:shd w:color="auto" w:fill="CCC0D9" w:themeFill="accent4" w:themeFillTint="66" w:val="clea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108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13</w:t>
            </w:r>
          </w:p>
        </w:tc>
        <w:tc>
          <w:tcPr>
            <w:tcW w:w="10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0</w:t>
            </w:r>
          </w:p>
        </w:tc>
        <w:tc>
          <w:tcPr>
            <w:tcW w:w="121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32</w:t>
            </w:r>
          </w:p>
        </w:tc>
        <w:tc>
          <w:tcPr>
            <w:tcW w:w="842" w:type="dxa"/>
            <w:tcBorders/>
            <w:shd w:color="auto" w:fill="CCC0D9" w:themeFill="accent4" w:themeFillTint="66" w:val="clea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49</w:t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7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170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52" w:type="dxa"/>
            <w:tcBorders/>
            <w:shd w:color="auto" w:fill="CCC0D9" w:themeFill="accent4" w:themeFillTint="66" w:val="clea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34</w:t>
            </w:r>
          </w:p>
        </w:tc>
        <w:tc>
          <w:tcPr>
            <w:tcW w:w="8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8"/>
          <w:szCs w:val="28"/>
        </w:rPr>
        <w:t>На протяжении последних 3 лет соотношение количества девочек и мальчиков разное и периодически меняется то в большую, то в меньшую сторону. В 2025 году ДОУ посещали 83 ребёнка, детей-инвалидов, детей переданных под опеку, попечительство и детей-сирот в ДОУ нет. Количество неполных семей и семей, в которых родители имеют высшее образование, также периодически меняется.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Контингент обучающихся дошкольного образовательного учреждения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tbl>
      <w:tblPr>
        <w:tblStyle w:val="a3"/>
        <w:tblW w:w="142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626"/>
        <w:gridCol w:w="3602"/>
        <w:gridCol w:w="3766"/>
        <w:gridCol w:w="3283"/>
      </w:tblGrid>
      <w:tr>
        <w:trPr>
          <w:trHeight w:val="331" w:hRule="atLeast"/>
        </w:trPr>
        <w:tc>
          <w:tcPr>
            <w:tcW w:w="3626" w:type="dxa"/>
            <w:vMerge w:val="restart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Показатели</w:t>
            </w:r>
          </w:p>
        </w:tc>
        <w:tc>
          <w:tcPr>
            <w:tcW w:w="10651" w:type="dxa"/>
            <w:gridSpan w:val="3"/>
            <w:tcBorders/>
            <w:shd w:color="auto" w:fill="CCC0D9" w:themeFill="accent4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Учебные годы</w:t>
            </w:r>
          </w:p>
        </w:tc>
      </w:tr>
      <w:tr>
        <w:trPr/>
        <w:tc>
          <w:tcPr>
            <w:tcW w:w="3626" w:type="dxa"/>
            <w:vMerge w:val="continue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02" w:type="dxa"/>
            <w:tcBorders/>
            <w:shd w:color="auto" w:fill="DBE5F1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2022 – 2023</w:t>
            </w:r>
          </w:p>
        </w:tc>
        <w:tc>
          <w:tcPr>
            <w:tcW w:w="3766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2023 - 2024</w:t>
            </w:r>
          </w:p>
        </w:tc>
        <w:tc>
          <w:tcPr>
            <w:tcW w:w="3283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2024 - 2025</w:t>
            </w:r>
          </w:p>
        </w:tc>
      </w:tr>
      <w:tr>
        <w:trPr/>
        <w:tc>
          <w:tcPr>
            <w:tcW w:w="3626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Полная семья</w:t>
            </w:r>
          </w:p>
        </w:tc>
        <w:tc>
          <w:tcPr>
            <w:tcW w:w="3602" w:type="dxa"/>
            <w:tcBorders/>
            <w:shd w:color="auto" w:fill="DBE5F1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%</w:t>
            </w:r>
          </w:p>
        </w:tc>
        <w:tc>
          <w:tcPr>
            <w:tcW w:w="3766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81%</w:t>
            </w:r>
          </w:p>
        </w:tc>
        <w:tc>
          <w:tcPr>
            <w:tcW w:w="3283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81%</w:t>
            </w:r>
          </w:p>
        </w:tc>
      </w:tr>
      <w:tr>
        <w:trPr/>
        <w:tc>
          <w:tcPr>
            <w:tcW w:w="3626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Неполная семья</w:t>
            </w:r>
          </w:p>
        </w:tc>
        <w:tc>
          <w:tcPr>
            <w:tcW w:w="3602" w:type="dxa"/>
            <w:tcBorders/>
            <w:shd w:color="auto" w:fill="DBE5F1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%</w:t>
            </w:r>
          </w:p>
        </w:tc>
        <w:tc>
          <w:tcPr>
            <w:tcW w:w="3766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15%</w:t>
            </w:r>
          </w:p>
        </w:tc>
        <w:tc>
          <w:tcPr>
            <w:tcW w:w="3283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15%</w:t>
            </w:r>
          </w:p>
        </w:tc>
      </w:tr>
      <w:tr>
        <w:trPr/>
        <w:tc>
          <w:tcPr>
            <w:tcW w:w="3626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 многодетные</w:t>
            </w:r>
          </w:p>
        </w:tc>
        <w:tc>
          <w:tcPr>
            <w:tcW w:w="3602" w:type="dxa"/>
            <w:tcBorders/>
            <w:shd w:color="auto" w:fill="DBE5F1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8%</w:t>
            </w:r>
          </w:p>
        </w:tc>
        <w:tc>
          <w:tcPr>
            <w:tcW w:w="3766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8%</w:t>
            </w:r>
          </w:p>
        </w:tc>
        <w:tc>
          <w:tcPr>
            <w:tcW w:w="3283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12%</w:t>
            </w:r>
          </w:p>
        </w:tc>
      </w:tr>
      <w:tr>
        <w:trPr/>
        <w:tc>
          <w:tcPr>
            <w:tcW w:w="3626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 опекаемые</w:t>
            </w:r>
          </w:p>
        </w:tc>
        <w:tc>
          <w:tcPr>
            <w:tcW w:w="3602" w:type="dxa"/>
            <w:tcBorders/>
            <w:shd w:color="auto" w:fill="DBE5F1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1%</w:t>
            </w:r>
          </w:p>
        </w:tc>
        <w:tc>
          <w:tcPr>
            <w:tcW w:w="3766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0%</w:t>
            </w:r>
          </w:p>
        </w:tc>
        <w:tc>
          <w:tcPr>
            <w:tcW w:w="3283" w:type="dxa"/>
            <w:tcBorders/>
            <w:shd w:color="auto" w:fill="FDE9D9" w:themeFill="accent6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%</w:t>
            </w:r>
          </w:p>
        </w:tc>
      </w:tr>
      <w:tr>
        <w:trPr/>
        <w:tc>
          <w:tcPr>
            <w:tcW w:w="3626" w:type="dxa"/>
            <w:tcBorders>
              <w:top w:val="nil"/>
            </w:tcBorders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том числе семьи участников СВО</w:t>
            </w:r>
          </w:p>
        </w:tc>
        <w:tc>
          <w:tcPr>
            <w:tcW w:w="3602" w:type="dxa"/>
            <w:tcBorders>
              <w:top w:val="nil"/>
            </w:tcBorders>
            <w:shd w:color="auto" w:fill="DBE5F1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6%</w:t>
            </w:r>
          </w:p>
        </w:tc>
        <w:tc>
          <w:tcPr>
            <w:tcW w:w="3766" w:type="dxa"/>
            <w:tcBorders>
              <w:top w:val="nil"/>
            </w:tcBorders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6%</w:t>
            </w:r>
          </w:p>
        </w:tc>
        <w:tc>
          <w:tcPr>
            <w:tcW w:w="3283" w:type="dxa"/>
            <w:tcBorders>
              <w:top w:val="nil"/>
            </w:tcBorders>
            <w:shd w:color="auto" w:fill="FDE9D9" w:themeFill="accent6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6%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  <w:tab/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В 2024-2025 учебном году количество многодетных семей повысилось на 10%, а количество неполных семей осталось на прежнем уровне, что свидетельствует о наличии в обществе социальных проблем, которые препятствуют стабильности семейных отношений и улучшения семейного благополучия. Чтобы улучшить ситуацию в ДОУ разработан комплексный план по взаимодействию с семьями обучающихся. Этот план предполагает дифференцированный подход к каждой конкретной семье, с учётом социального статуса. В 2025 году поступил 1 воспитанник СВО, 2 воспитанника выбыло. Число семей осталось на прежнем уровне. Воспитателям в работе с детьми участников СВО рекомендовано учитывать письмо Минпросвещения от 11.08.2023 г. № АБ-3386/07.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Анализ движения обучающихся за 3 учебных года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tbl>
      <w:tblPr>
        <w:tblStyle w:val="a3"/>
        <w:tblW w:w="142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04"/>
        <w:gridCol w:w="3033"/>
        <w:gridCol w:w="3171"/>
        <w:gridCol w:w="3287"/>
        <w:gridCol w:w="2883"/>
      </w:tblGrid>
      <w:tr>
        <w:trPr/>
        <w:tc>
          <w:tcPr>
            <w:tcW w:w="1904" w:type="dxa"/>
            <w:tcBorders/>
            <w:shd w:color="auto" w:fill="CCC0D9" w:themeFill="accent4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Учебный год</w:t>
            </w:r>
          </w:p>
        </w:tc>
        <w:tc>
          <w:tcPr>
            <w:tcW w:w="3033" w:type="dxa"/>
            <w:tcBorders/>
            <w:shd w:color="auto" w:fill="CCC0D9" w:themeFill="accent4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Среднее списочное количество обучающихся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171" w:type="dxa"/>
            <w:tcBorders/>
            <w:shd w:color="auto" w:fill="CCC0D9" w:themeFill="accent4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Количество обучающихся, принятых вновь</w:t>
            </w:r>
          </w:p>
        </w:tc>
        <w:tc>
          <w:tcPr>
            <w:tcW w:w="3287" w:type="dxa"/>
            <w:tcBorders/>
            <w:shd w:color="auto" w:fill="CCC0D9" w:themeFill="accent4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Количество выбывших в школу</w:t>
            </w:r>
          </w:p>
        </w:tc>
        <w:tc>
          <w:tcPr>
            <w:tcW w:w="2883" w:type="dxa"/>
            <w:tcBorders/>
            <w:shd w:color="auto" w:fill="CCC0D9" w:themeFill="accent4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Количество выбывших по другим причинам</w:t>
            </w:r>
          </w:p>
        </w:tc>
      </w:tr>
      <w:tr>
        <w:trPr/>
        <w:tc>
          <w:tcPr>
            <w:tcW w:w="1904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022- 2023</w:t>
            </w:r>
          </w:p>
        </w:tc>
        <w:tc>
          <w:tcPr>
            <w:tcW w:w="3033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87</w:t>
            </w:r>
          </w:p>
        </w:tc>
        <w:tc>
          <w:tcPr>
            <w:tcW w:w="317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</w:t>
            </w:r>
          </w:p>
        </w:tc>
        <w:tc>
          <w:tcPr>
            <w:tcW w:w="3287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2883" w:type="dxa"/>
            <w:tcBorders/>
            <w:shd w:color="auto" w:fill="E5DFEC" w:themeFill="accent4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2</w:t>
            </w:r>
          </w:p>
        </w:tc>
      </w:tr>
      <w:tr>
        <w:trPr/>
        <w:tc>
          <w:tcPr>
            <w:tcW w:w="1904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2023 - 2024</w:t>
            </w:r>
          </w:p>
        </w:tc>
        <w:tc>
          <w:tcPr>
            <w:tcW w:w="3033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87</w:t>
            </w:r>
          </w:p>
        </w:tc>
        <w:tc>
          <w:tcPr>
            <w:tcW w:w="317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</w:t>
            </w:r>
          </w:p>
        </w:tc>
        <w:tc>
          <w:tcPr>
            <w:tcW w:w="3287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</w:t>
            </w:r>
          </w:p>
        </w:tc>
        <w:tc>
          <w:tcPr>
            <w:tcW w:w="2883" w:type="dxa"/>
            <w:tcBorders/>
            <w:shd w:color="auto" w:fill="E5DFEC" w:themeFill="accent4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904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2024 - 2025</w:t>
            </w:r>
          </w:p>
        </w:tc>
        <w:tc>
          <w:tcPr>
            <w:tcW w:w="3033" w:type="dxa"/>
            <w:tcBorders/>
            <w:shd w:color="auto" w:fill="FBD4B4" w:themeFill="accent6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83</w:t>
            </w:r>
          </w:p>
        </w:tc>
        <w:tc>
          <w:tcPr>
            <w:tcW w:w="317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3287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2883" w:type="dxa"/>
            <w:tcBorders/>
            <w:shd w:color="auto" w:fill="E5DFEC" w:themeFill="accent4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6"/>
          <w:szCs w:val="26"/>
          <w:lang w:eastAsia="ru-RU"/>
        </w:rPr>
        <w:tab/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Ежегодно проводится работа по увеличению количественного состава обучающихся, особенное внимание уделяется детям до 3-х лет.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ru-RU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themeColor="text1" w:val="000000"/>
          <w:sz w:val="28"/>
          <w:szCs w:val="28"/>
          <w:lang w:eastAsia="ru-RU"/>
        </w:rPr>
        <w:t>Кадровое обеспечение</w:t>
      </w:r>
    </w:p>
    <w:p>
      <w:pPr>
        <w:pStyle w:val="ListParagraph"/>
        <w:spacing w:lineRule="auto" w:line="240" w:before="0" w:after="0"/>
        <w:ind w:left="6031"/>
        <w:contextualSpacing/>
        <w:rPr>
          <w:rFonts w:ascii="Times New Roman" w:hAnsi="Times New Roman" w:eastAsia="Times New Roman" w:cs="Times New Roman"/>
          <w:color w:themeColor="text1" w:val="000000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Дошкольное образовательное учреждение укомплектовано педагогическим и техническим персоналом в соответствии со штатным расписанием на 100 %.</w:t>
      </w:r>
    </w:p>
    <w:p>
      <w:pPr>
        <w:pStyle w:val="ListParagraph"/>
        <w:spacing w:lineRule="auto" w:line="360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№ 2</w:t>
      </w:r>
    </w:p>
    <w:tbl>
      <w:tblPr>
        <w:tblStyle w:val="a3"/>
        <w:tblW w:w="1431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09"/>
        <w:gridCol w:w="828"/>
        <w:gridCol w:w="1158"/>
        <w:gridCol w:w="1275"/>
        <w:gridCol w:w="1134"/>
        <w:gridCol w:w="1134"/>
        <w:gridCol w:w="1134"/>
        <w:gridCol w:w="992"/>
        <w:gridCol w:w="709"/>
        <w:gridCol w:w="1134"/>
        <w:gridCol w:w="850"/>
        <w:gridCol w:w="1559"/>
      </w:tblGrid>
      <w:tr>
        <w:trPr>
          <w:trHeight w:val="252" w:hRule="atLeast"/>
        </w:trPr>
        <w:tc>
          <w:tcPr>
            <w:tcW w:w="2409" w:type="dxa"/>
            <w:vMerge w:val="restart"/>
            <w:tcBorders/>
            <w:shd w:color="auto" w:fill="C2D69B" w:themeFill="accent3" w:themeFillTint="99" w:val="clea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righ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828" w:type="dxa"/>
            <w:vMerge w:val="restart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Кол-во штатных единиц</w:t>
            </w:r>
          </w:p>
        </w:tc>
        <w:tc>
          <w:tcPr>
            <w:tcW w:w="1158" w:type="dxa"/>
            <w:vMerge w:val="restart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Кол-во фактически работающих (чел)</w:t>
            </w:r>
          </w:p>
        </w:tc>
        <w:tc>
          <w:tcPr>
            <w:tcW w:w="1275" w:type="dxa"/>
            <w:vMerge w:val="restart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Имеют высшее образование</w:t>
            </w:r>
          </w:p>
        </w:tc>
        <w:tc>
          <w:tcPr>
            <w:tcW w:w="1134" w:type="dxa"/>
            <w:vMerge w:val="restart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Имеют среднее профессиональное образование</w:t>
            </w:r>
          </w:p>
        </w:tc>
        <w:tc>
          <w:tcPr>
            <w:tcW w:w="1134" w:type="dxa"/>
            <w:vMerge w:val="restart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Молодые специалисты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(стаж до 5 лет)</w:t>
            </w:r>
          </w:p>
        </w:tc>
        <w:tc>
          <w:tcPr>
            <w:tcW w:w="1134" w:type="dxa"/>
            <w:vMerge w:val="restart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Работники пенсионного возраста</w:t>
            </w:r>
          </w:p>
        </w:tc>
        <w:tc>
          <w:tcPr>
            <w:tcW w:w="3685" w:type="dxa"/>
            <w:gridSpan w:val="4"/>
            <w:tcBorders/>
            <w:shd w:color="auto" w:fill="C2D69B" w:themeFill="accent3" w:themeFillTint="99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Аттестованы</w:t>
            </w:r>
          </w:p>
        </w:tc>
        <w:tc>
          <w:tcPr>
            <w:tcW w:w="1559" w:type="dxa"/>
            <w:vMerge w:val="restart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Прошли повышение квалификации в предыдущем году</w:t>
            </w:r>
          </w:p>
        </w:tc>
      </w:tr>
      <w:tr>
        <w:trPr>
          <w:trHeight w:val="1989" w:hRule="atLeast"/>
          <w:cantSplit w:val="true"/>
        </w:trPr>
        <w:tc>
          <w:tcPr>
            <w:tcW w:w="2409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0"/>
              <w:contextualSpacing/>
              <w:jc w:val="righ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828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righ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1158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righ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1275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righ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righ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righ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righ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992" w:type="dxa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Высшая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категория</w:t>
            </w:r>
          </w:p>
        </w:tc>
        <w:tc>
          <w:tcPr>
            <w:tcW w:w="709" w:type="dxa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 категория</w:t>
            </w:r>
          </w:p>
        </w:tc>
        <w:tc>
          <w:tcPr>
            <w:tcW w:w="1134" w:type="dxa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Соответствует  занимаемой должности</w:t>
            </w:r>
          </w:p>
        </w:tc>
        <w:tc>
          <w:tcPr>
            <w:tcW w:w="850" w:type="dxa"/>
            <w:tcBorders/>
            <w:shd w:color="auto" w:fill="C2D69B" w:themeFill="accent3" w:themeFillTint="99" w:val="clear"/>
            <w:textDirection w:val="btL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113" w:right="113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Не аттестованы</w:t>
            </w:r>
          </w:p>
        </w:tc>
        <w:tc>
          <w:tcPr>
            <w:tcW w:w="1559" w:type="dxa"/>
            <w:vMerge w:val="continue"/>
            <w:tcBorders/>
            <w:shd w:color="auto" w:fill="C2D69B" w:themeFill="accent3" w:themeFillTint="99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righ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</w:tr>
      <w:tr>
        <w:trPr>
          <w:trHeight w:val="983" w:hRule="atLeast"/>
        </w:trPr>
        <w:tc>
          <w:tcPr>
            <w:tcW w:w="2409" w:type="dxa"/>
            <w:tcBorders/>
            <w:shd w:color="auto" w:fill="CCC0D9" w:themeFill="accent4" w:themeFillTint="66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08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Административный персонал</w:t>
            </w:r>
          </w:p>
        </w:tc>
        <w:tc>
          <w:tcPr>
            <w:tcW w:w="82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15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99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0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2409" w:type="dxa"/>
            <w:tcBorders/>
            <w:shd w:color="auto" w:fill="CCC0D9" w:themeFill="accent4" w:themeFillTint="66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Педагогический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персонал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82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15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13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99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70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13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5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2409" w:type="dxa"/>
            <w:tcBorders/>
            <w:shd w:color="auto" w:fill="CCC0D9" w:themeFill="accent4" w:themeFillTint="66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Обслуживающий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персонал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82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15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27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13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99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70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5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55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</w:tr>
    </w:tbl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Аттестация педагогических работников в динамике</w:t>
      </w:r>
    </w:p>
    <w:tbl>
      <w:tblPr>
        <w:tblStyle w:val="a3"/>
        <w:tblW w:w="141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86"/>
        <w:gridCol w:w="3262"/>
        <w:gridCol w:w="3233"/>
        <w:gridCol w:w="2293"/>
      </w:tblGrid>
      <w:tr>
        <w:trPr/>
        <w:tc>
          <w:tcPr>
            <w:tcW w:w="5386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Квалификационная категория</w:t>
            </w:r>
          </w:p>
        </w:tc>
        <w:tc>
          <w:tcPr>
            <w:tcW w:w="3262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022-2023</w:t>
            </w:r>
          </w:p>
        </w:tc>
        <w:tc>
          <w:tcPr>
            <w:tcW w:w="3233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2023-2024</w:t>
            </w:r>
          </w:p>
        </w:tc>
        <w:tc>
          <w:tcPr>
            <w:tcW w:w="2293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2024-2025</w:t>
            </w:r>
          </w:p>
        </w:tc>
      </w:tr>
      <w:tr>
        <w:trPr/>
        <w:tc>
          <w:tcPr>
            <w:tcW w:w="538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Высшая категория</w:t>
            </w:r>
          </w:p>
        </w:tc>
        <w:tc>
          <w:tcPr>
            <w:tcW w:w="326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1/14%</w:t>
            </w:r>
          </w:p>
        </w:tc>
        <w:tc>
          <w:tcPr>
            <w:tcW w:w="3233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1/14%</w:t>
            </w:r>
          </w:p>
        </w:tc>
        <w:tc>
          <w:tcPr>
            <w:tcW w:w="2293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1/12,5%</w:t>
            </w:r>
          </w:p>
        </w:tc>
      </w:tr>
      <w:tr>
        <w:trPr/>
        <w:tc>
          <w:tcPr>
            <w:tcW w:w="538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Первая категория</w:t>
            </w:r>
          </w:p>
        </w:tc>
        <w:tc>
          <w:tcPr>
            <w:tcW w:w="326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4/58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%</w:t>
            </w:r>
          </w:p>
        </w:tc>
        <w:tc>
          <w:tcPr>
            <w:tcW w:w="3233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4/58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%</w:t>
            </w:r>
          </w:p>
        </w:tc>
        <w:tc>
          <w:tcPr>
            <w:tcW w:w="2293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5/62,5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%</w:t>
            </w:r>
          </w:p>
        </w:tc>
      </w:tr>
      <w:tr>
        <w:trPr/>
        <w:tc>
          <w:tcPr>
            <w:tcW w:w="538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 аттестованы</w:t>
            </w:r>
          </w:p>
        </w:tc>
        <w:tc>
          <w:tcPr>
            <w:tcW w:w="326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1/14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%</w:t>
            </w:r>
          </w:p>
        </w:tc>
        <w:tc>
          <w:tcPr>
            <w:tcW w:w="3233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2/28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%</w:t>
            </w:r>
          </w:p>
        </w:tc>
        <w:tc>
          <w:tcPr>
            <w:tcW w:w="2293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2/25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%</w:t>
            </w:r>
          </w:p>
        </w:tc>
      </w:tr>
      <w:tr>
        <w:trPr/>
        <w:tc>
          <w:tcPr>
            <w:tcW w:w="538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Соответствие занимаемой должности</w:t>
            </w:r>
          </w:p>
        </w:tc>
        <w:tc>
          <w:tcPr>
            <w:tcW w:w="326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1/14%</w:t>
            </w:r>
          </w:p>
        </w:tc>
        <w:tc>
          <w:tcPr>
            <w:tcW w:w="3233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0/0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%</w:t>
            </w:r>
          </w:p>
        </w:tc>
        <w:tc>
          <w:tcPr>
            <w:tcW w:w="2293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0/0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%</w:t>
            </w:r>
          </w:p>
        </w:tc>
      </w:tr>
      <w:tr>
        <w:trPr/>
        <w:tc>
          <w:tcPr>
            <w:tcW w:w="538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Всего педагогов</w:t>
            </w:r>
          </w:p>
        </w:tc>
        <w:tc>
          <w:tcPr>
            <w:tcW w:w="3262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233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2293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</w:tr>
    </w:tbl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Повышение квалификации в динамике</w:t>
      </w:r>
    </w:p>
    <w:tbl>
      <w:tblPr>
        <w:tblStyle w:val="a3"/>
        <w:tblW w:w="142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25"/>
        <w:gridCol w:w="3224"/>
        <w:gridCol w:w="3060"/>
        <w:gridCol w:w="2670"/>
      </w:tblGrid>
      <w:tr>
        <w:trPr/>
        <w:tc>
          <w:tcPr>
            <w:tcW w:w="5325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Форма повышения квалификации</w:t>
            </w:r>
          </w:p>
        </w:tc>
        <w:tc>
          <w:tcPr>
            <w:tcW w:w="3224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2022-20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23</w:t>
            </w:r>
          </w:p>
        </w:tc>
        <w:tc>
          <w:tcPr>
            <w:tcW w:w="3060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2023-2024</w:t>
            </w:r>
          </w:p>
        </w:tc>
        <w:tc>
          <w:tcPr>
            <w:tcW w:w="2670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2024-2025</w:t>
            </w:r>
          </w:p>
        </w:tc>
      </w:tr>
      <w:tr>
        <w:trPr/>
        <w:tc>
          <w:tcPr>
            <w:tcW w:w="532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Курсы повышения квалификации</w:t>
            </w:r>
          </w:p>
        </w:tc>
        <w:tc>
          <w:tcPr>
            <w:tcW w:w="3224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7/100%</w:t>
            </w:r>
          </w:p>
        </w:tc>
        <w:tc>
          <w:tcPr>
            <w:tcW w:w="3060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4/57%</w:t>
            </w:r>
          </w:p>
        </w:tc>
        <w:tc>
          <w:tcPr>
            <w:tcW w:w="2670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8/100%</w:t>
            </w:r>
          </w:p>
        </w:tc>
      </w:tr>
      <w:tr>
        <w:trPr/>
        <w:tc>
          <w:tcPr>
            <w:tcW w:w="532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Вебинары, конференции</w:t>
            </w:r>
          </w:p>
        </w:tc>
        <w:tc>
          <w:tcPr>
            <w:tcW w:w="3224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7/100%</w:t>
            </w:r>
          </w:p>
        </w:tc>
        <w:tc>
          <w:tcPr>
            <w:tcW w:w="3060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7/100%</w:t>
            </w:r>
          </w:p>
        </w:tc>
        <w:tc>
          <w:tcPr>
            <w:tcW w:w="2670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8/100%</w:t>
            </w:r>
          </w:p>
        </w:tc>
      </w:tr>
      <w:tr>
        <w:trPr/>
        <w:tc>
          <w:tcPr>
            <w:tcW w:w="532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Городские МО, семинары</w:t>
            </w:r>
          </w:p>
        </w:tc>
        <w:tc>
          <w:tcPr>
            <w:tcW w:w="3224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7/100%</w:t>
            </w:r>
          </w:p>
        </w:tc>
        <w:tc>
          <w:tcPr>
            <w:tcW w:w="3060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7/100%</w:t>
            </w:r>
          </w:p>
        </w:tc>
        <w:tc>
          <w:tcPr>
            <w:tcW w:w="2670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8/100%</w:t>
            </w:r>
          </w:p>
        </w:tc>
      </w:tr>
      <w:tr>
        <w:trPr/>
        <w:tc>
          <w:tcPr>
            <w:tcW w:w="532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Всего педагогов</w:t>
            </w:r>
          </w:p>
        </w:tc>
        <w:tc>
          <w:tcPr>
            <w:tcW w:w="3224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060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7</w:t>
            </w:r>
          </w:p>
        </w:tc>
        <w:tc>
          <w:tcPr>
            <w:tcW w:w="2670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Все педагоги своевременно проходят процедуру аттестации и курсы повышения квалификации, а также повышают свою профессиональную компетентность через участие в вебинарах, форумах, конференциях, методических объединениях и семинарах педагогических и руководящих работников дошкольных образовательных учреждений.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Ежегодно педагогический коллектив ДОУ представляет свой педагогический опыт на методических мероприятиях на муниципальном уровне.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Педагоги владеют компьютерной грамотностью для качества образовательной деятельности с применением дистанционных образовательных технологий. Всё это в комплексе даёт хороший результат в организации педагогической деятельности и улучшений качества образования и воспитания дошкольников.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2025 году воспитателю Молокановой Елене Витальевне объявлена Благодарность Департамента образования и науки Ивановской области за  высокий профессионализм и добросовестный труд в системе образования Ивановской области.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работы за 2025 год показывает высокую активность педагогов, их стремление к изучению новых тенденций в дошкольной педагогике, к приобретению новых знаний и применению их на практике.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Однако, по-прежнему остается проблема «омоложения» кадров. Из-за низкого престижа профессии воспитатель молодые специалисты не идут работать в сферу дошкольного образования или, придя, долго не задерживаются. </w:t>
      </w:r>
    </w:p>
    <w:p>
      <w:pPr>
        <w:pStyle w:val="ListParagraph"/>
        <w:spacing w:lineRule="auto" w:line="240" w:before="0" w:after="0"/>
        <w:ind w:left="0"/>
        <w:contextualSpacing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ListParagraph"/>
        <w:spacing w:lineRule="auto" w:line="240" w:before="0" w:after="0"/>
        <w:ind w:left="0"/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</w:r>
    </w:p>
    <w:p>
      <w:pPr>
        <w:pStyle w:val="ListParagraph"/>
        <w:spacing w:lineRule="auto" w:line="240" w:before="0" w:after="0"/>
        <w:ind w:left="0"/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1.3. Особенности реализуемой в ДОУ образовательной программы дошкольного образования</w:t>
      </w:r>
    </w:p>
    <w:p>
      <w:pPr>
        <w:pStyle w:val="ListParagraph"/>
        <w:spacing w:lineRule="auto" w:line="240" w:before="0" w:after="0"/>
        <w:ind w:left="0"/>
        <w:contextualSpacing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9"/>
        <w:jc w:val="both"/>
        <w:rPr>
          <w:rStyle w:val="Strong"/>
          <w:b w:val="false"/>
          <w:sz w:val="28"/>
          <w:szCs w:val="28"/>
        </w:rPr>
      </w:pPr>
      <w:r>
        <w:rPr>
          <w:color w:val="C00000"/>
          <w:sz w:val="28"/>
          <w:szCs w:val="28"/>
        </w:rPr>
        <w:t xml:space="preserve"> </w:t>
      </w:r>
      <w:r>
        <w:rPr>
          <w:rStyle w:val="Strong"/>
          <w:b w:val="false"/>
          <w:color w:val="000000"/>
          <w:sz w:val="28"/>
          <w:szCs w:val="28"/>
        </w:rPr>
        <w:t xml:space="preserve">Образовательный процесс в  ДОУ осуществляется в соответствии с требованиями законодательства Российской Федерации, нормативно-правовыми документами, регламентирующими деятельность ДОУ (Федеральным Законом от 29.12.2012 №273-ФЗ "Об образовании в Российской Федерации", </w:t>
      </w:r>
      <w:r>
        <w:rPr>
          <w:rStyle w:val="Strong"/>
          <w:b w:val="false"/>
          <w:sz w:val="28"/>
          <w:szCs w:val="28"/>
        </w:rPr>
        <w:t>"Порядком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образования" (утв. приказом Министерства Просвещения РФ от 31 июля 2020 г. № 373), "Федеральным государственным образовательным</w:t>
      </w:r>
      <w:r>
        <w:rPr>
          <w:rStyle w:val="Strong"/>
          <w:b w:val="false"/>
          <w:sz w:val="26"/>
          <w:szCs w:val="26"/>
        </w:rPr>
        <w:t xml:space="preserve"> </w:t>
      </w:r>
      <w:r>
        <w:rPr>
          <w:rStyle w:val="Strong"/>
          <w:b w:val="false"/>
          <w:sz w:val="28"/>
          <w:szCs w:val="28"/>
        </w:rPr>
        <w:t>стандартом дошкольного образования",</w:t>
      </w:r>
      <w:r>
        <w:rPr>
          <w:sz w:val="28"/>
          <w:szCs w:val="28"/>
        </w:rPr>
        <w:t xml:space="preserve"> утв.  Приказом Министерства образования и науки Российской Федерации от 17 октября 2013 г. № 1155 г. Москва (далее по тексту ФГОС ДО), СП 2.4.3648-20 «Санитарно-эпидемиологические требования к организациям воспитания и обучения отдыха и оздоровления детей и молодёжи, а 01.03.2021 - дополнительно с требованиями</w:t>
      </w:r>
      <w:r>
        <w:rPr>
          <w:rStyle w:val="Strong"/>
          <w:b w:val="false"/>
          <w:sz w:val="28"/>
          <w:szCs w:val="28"/>
        </w:rPr>
        <w:t xml:space="preserve"> СанПиН 1.2.3685-21 «Гигиенические нормативы и требования к обеспечению безопасности и (или без вредности для человека факторов среды обитания», Уставом МБДОУ д/с № 5.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Образовательная программа разработана на основании утверждённой образовательной программой дошкольного образования (ОП ДО), которая составлена в 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 ДО) и санитарно — эпидемиологическими правилами и нормами.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 — нравственных ценностей российского народа, исторических и национально — культурных традиций. К традиционным российским духовно — нравственным ценностям относятся: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Задачи: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обеспечение единых для Российской Федерации содержания ДР и планируемых результатов освоения образовательной программы ДО;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приобщение детей (в соответствии с возрастными особенностями) к базовым ценностям российского народа — жизнь,достоинство, права и свободы человека, патриотизм, гражданственность, высокие нравственные идеалы, крепкая семья,созидательный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построение (структурирование) содержание образовательной деятельности на основе учёта возрастных и индивидуальных особенностей развития;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охрана и укрепление физического и психического здоровья детей. В том числе их эмоционального благополучия;- обеспечение развития физических, личностных, нравственных  качеств и основ патриотизма, интеллектуальных и художественно - творческих способностей ребёнка, его инициативности, самостоятельности и ответственности;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обеспечение психолого — 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 достижения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Содержанием образовательной Программы ДО предусматривается: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- развитие воспитанников во всех пяти взаимодополняющих образовательных областях с учётом их индивидуальных возможностей;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- интеграция содержания образовательных областей;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- непрерывность психолого — педагогического сопровождения воспитанников и их семей на всех этапах реализации Программы;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- социализация всех воспитанников в условиях технологии инклюзивного (совместного) образования.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bCs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Вариативная часть ОП ДО сформирована участниками образовательного процесса, отражает реализацию существующих в образовательном учреждении традиций.</w:t>
      </w:r>
    </w:p>
    <w:p>
      <w:pPr>
        <w:pStyle w:val="NormalWeb"/>
        <w:spacing w:beforeAutospacing="0" w:before="0" w:afterAutospacing="0" w:after="0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вариативной части образовательной программы дополнена с учётом интересов детей и родителей.</w:t>
      </w:r>
    </w:p>
    <w:p>
      <w:pPr>
        <w:pStyle w:val="NormalWeb"/>
        <w:spacing w:beforeAutospacing="0" w:before="0" w:afterAutospacing="0" w:after="0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выбора тематики образовательных проектов определяется потребностями и интересами детей членов их семей, а также возможностями педагогического коллектива и условиями, созданными в детском саду.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hanging="0" w:left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ЭФФЕКТИВНОСТЬ ОБРАЗОВАТЕЛЬНОГО ПРОЦЕССА И ЕГО ОРГАНИЗАЦИЯ В ДОУ</w:t>
      </w:r>
    </w:p>
    <w:p>
      <w:pPr>
        <w:pStyle w:val="NormalWeb"/>
        <w:spacing w:beforeAutospacing="0" w:before="0" w:afterAutospacing="0" w:after="0"/>
        <w:jc w:val="center"/>
        <w:rPr>
          <w:b/>
          <w:color w:val="C00000"/>
          <w:sz w:val="16"/>
          <w:szCs w:val="16"/>
        </w:rPr>
      </w:pPr>
      <w:r>
        <w:rPr>
          <w:b/>
          <w:color w:val="C00000"/>
          <w:sz w:val="16"/>
          <w:szCs w:val="16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Образовательный процесс в ДОУ организуется на достаточно высоком уровне. В 2025 году обучение воспитанников проходило полностью на основе ОП, разработанной в соответствии с ФГОС ДО и ФОП ДО. По итогам контрольного периода освоения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>
      <w:pPr>
        <w:pStyle w:val="Normal"/>
        <w:numPr>
          <w:ilvl w:val="0"/>
          <w:numId w:val="18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диагностические занятия (по каждому разделу программы);</w:t>
      </w:r>
    </w:p>
    <w:p>
      <w:pPr>
        <w:pStyle w:val="Normal"/>
        <w:numPr>
          <w:ilvl w:val="0"/>
          <w:numId w:val="18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диагностические срезы;</w:t>
      </w:r>
    </w:p>
    <w:p>
      <w:pPr>
        <w:pStyle w:val="Normal"/>
        <w:numPr>
          <w:ilvl w:val="0"/>
          <w:numId w:val="18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наблюдения, итоговые занятия.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Педагоги ДОУ владеют содержанием всех образовательных областей с учётом ФГОС ДО и ФОП ДО, умеют выбирать адекватные возрасту и индивидуальным особенностям развития детей формы, методы и средства обучения рационально и эффективно используют время, отведённое для образовательных мероприятий.</w:t>
      </w:r>
    </w:p>
    <w:p>
      <w:pPr>
        <w:pStyle w:val="Normal"/>
        <w:keepLines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Педагоги ДОУ владеют и используют в практике работы:</w:t>
      </w:r>
    </w:p>
    <w:p>
      <w:pPr>
        <w:pStyle w:val="Normal"/>
        <w:keepLines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</w:t>
      </w:r>
      <w:r>
        <w:rPr>
          <w:rFonts w:eastAsia="Calibri" w:cs="Times New Roman" w:ascii="Times New Roman" w:hAnsi="Times New Roman"/>
          <w:sz w:val="28"/>
          <w:szCs w:val="28"/>
        </w:rPr>
        <w:t>-  принцип календарно - тематического построения образовательного процесса;</w:t>
      </w:r>
    </w:p>
    <w:p>
      <w:pPr>
        <w:pStyle w:val="Normal"/>
        <w:keepLines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</w:t>
      </w:r>
      <w:r>
        <w:rPr>
          <w:rFonts w:eastAsia="Calibri" w:cs="Times New Roman" w:ascii="Times New Roman" w:hAnsi="Times New Roman"/>
          <w:sz w:val="28"/>
          <w:szCs w:val="28"/>
        </w:rPr>
        <w:t>-  принцип интеграции;</w:t>
      </w:r>
    </w:p>
    <w:p>
      <w:pPr>
        <w:pStyle w:val="Normal"/>
        <w:keepLines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</w:t>
      </w:r>
      <w:r>
        <w:rPr>
          <w:rFonts w:eastAsia="Calibri" w:cs="Times New Roman" w:ascii="Times New Roman" w:hAnsi="Times New Roman"/>
          <w:sz w:val="28"/>
          <w:szCs w:val="28"/>
        </w:rPr>
        <w:t>-  проектирование образовательной деятельности;</w:t>
      </w:r>
    </w:p>
    <w:p>
      <w:pPr>
        <w:pStyle w:val="Normal"/>
        <w:keepLines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</w:t>
      </w:r>
      <w:r>
        <w:rPr>
          <w:rFonts w:eastAsia="Calibri" w:cs="Times New Roman" w:ascii="Times New Roman" w:hAnsi="Times New Roman"/>
          <w:sz w:val="28"/>
          <w:szCs w:val="28"/>
        </w:rPr>
        <w:t>-  компетентностный подход;</w:t>
      </w:r>
    </w:p>
    <w:p>
      <w:pPr>
        <w:pStyle w:val="Normal"/>
        <w:keepLines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</w:t>
      </w:r>
      <w:r>
        <w:rPr>
          <w:rFonts w:eastAsia="Calibri" w:cs="Times New Roman" w:ascii="Times New Roman" w:hAnsi="Times New Roman"/>
          <w:sz w:val="28"/>
          <w:szCs w:val="28"/>
        </w:rPr>
        <w:t>-  метод моделирования;</w:t>
      </w:r>
    </w:p>
    <w:p>
      <w:pPr>
        <w:pStyle w:val="Normal"/>
        <w:keepLines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</w:t>
      </w:r>
      <w:r>
        <w:rPr>
          <w:rFonts w:eastAsia="Calibri" w:cs="Times New Roman" w:ascii="Times New Roman" w:hAnsi="Times New Roman"/>
          <w:sz w:val="28"/>
          <w:szCs w:val="28"/>
        </w:rPr>
        <w:t>-  проблемный метод обучения;</w:t>
      </w:r>
    </w:p>
    <w:p>
      <w:pPr>
        <w:pStyle w:val="Normal"/>
        <w:keepLines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</w:t>
      </w:r>
      <w:r>
        <w:rPr>
          <w:rFonts w:eastAsia="Calibri" w:cs="Times New Roman" w:ascii="Times New Roman" w:hAnsi="Times New Roman"/>
          <w:sz w:val="28"/>
          <w:szCs w:val="28"/>
        </w:rPr>
        <w:t>-  игровую мотивацию при организации образовательной деятельности с детьми;</w:t>
      </w:r>
    </w:p>
    <w:p>
      <w:pPr>
        <w:pStyle w:val="Normal"/>
        <w:keepLines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</w:t>
      </w:r>
      <w:r>
        <w:rPr>
          <w:rFonts w:eastAsia="Calibri" w:cs="Times New Roman" w:ascii="Times New Roman" w:hAnsi="Times New Roman"/>
          <w:sz w:val="28"/>
          <w:szCs w:val="28"/>
        </w:rPr>
        <w:t>-  методы и приемы стимулирования организации совместной партнерской деятельности с детьми;</w:t>
      </w:r>
    </w:p>
    <w:p>
      <w:pPr>
        <w:pStyle w:val="Normal"/>
        <w:keepLines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-  и др.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повышения эффективности образовательного процесса педагоги ДОУ регулярно используют возможности социума микрорайона и города. Сотрудничество с каждым учреждением строится на договорной основе с определением конкретных задач по воспитанию и развитию детей и конкретной деятельности. 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     </w:t>
      </w:r>
      <w:r>
        <w:rPr>
          <w:rFonts w:eastAsia="Calibri" w:cs="Times New Roman" w:ascii="Times New Roman" w:hAnsi="Times New Roman"/>
          <w:sz w:val="28"/>
          <w:szCs w:val="28"/>
        </w:rPr>
        <w:t xml:space="preserve">С целью эффективного решения образовательных задач в ДОУ создана разнообразная по содержанию развивающая предметно -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пространственная среда, которая систематически обновляется и обогащается с ориентацией на поддержание интереса у детей, на обеспечение «зоны ближайшего развития», на неисчерпаемую информативность и развитие индивидуальных способностей дошкольников.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каждой возрастной группе созданы игровые зоны (центры): 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уголок физического развития;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уголок сюжетно - ролевых и театрализованных игр;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книжный уголок;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уголок развития мелкой моторики, подготовки к письму;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уголок конструирования;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уголок песка и воды;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уголок математики, науки и естествознания;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уголок развивающих игр;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уголок искусств;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уголок уединения;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уголок патриотического воспитания.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Во всех группах имеется достаточное количество дидактических игр и пособий, направленных на физическое, умственное, социальное, художественно - эстетическое и эмоционально -личностное развитие воспитанников. Все предлагаемые детям игры и пособия педагогически целесообразны и соответствуют возрасту детей. Детский сад обеспечен техническими средствами обучения (телевизор, музыкальный центр, компьютеры, ноутбук, мультимедийная техника и др.), имеется достаточное количество методической, познавательной и художественной литературы. При организации развивающей предметно - пространственной среды соблюдены все правила техники безопасности. Атрибуты и игровое оборудование безопасны, эстетичны, аккуратно хранятся. Большое внимание уделяется подбору мебели по росту, а также цветовому, тепловому и световому режиму.</w:t>
      </w:r>
    </w:p>
    <w:p>
      <w:pPr>
        <w:pStyle w:val="Normal"/>
        <w:keepLines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 xml:space="preserve">Режим дня групп и максимальный объем учебной нагрузки соответствуют требованиям </w:t>
      </w:r>
      <w:r>
        <w:rPr>
          <w:rFonts w:cs="Times New Roman" w:ascii="Times New Roman" w:hAnsi="Times New Roman"/>
          <w:sz w:val="28"/>
          <w:szCs w:val="28"/>
        </w:rPr>
        <w:t xml:space="preserve">санитарных правил </w:t>
      </w:r>
      <w:bookmarkStart w:id="0" w:name="_Hlk163048145"/>
      <w:r>
        <w:rPr>
          <w:rFonts w:cs="Times New Roman" w:ascii="Times New Roman" w:hAnsi="Times New Roman"/>
          <w:sz w:val="28"/>
          <w:szCs w:val="28"/>
        </w:rPr>
        <w:t xml:space="preserve">СП 2.4.3648-20 «Санитарно - эпидемиологические требования </w:t>
      </w:r>
      <w:bookmarkEnd w:id="0"/>
      <w:r>
        <w:rPr>
          <w:rFonts w:cs="Times New Roman" w:ascii="Times New Roman" w:hAnsi="Times New Roman"/>
          <w:sz w:val="28"/>
          <w:szCs w:val="28"/>
        </w:rPr>
        <w:t>к организациям воспитания и обучения, отдыха и оздоровления детей и молодежи»</w:t>
      </w:r>
      <w:r>
        <w:rPr>
          <w:rFonts w:eastAsia="Calibri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Так как 2025 год приурочен к Году защитника отечества, все мероприятия были реализованны с учётом данной темы. Тематические мероприятия Года защитника отечества предусматривали взаимодействия со всеми участниками образовательных отношений. Так, с воспитанниками проводили блок занятий познавательного цикла в формате бесед, дискуссий, тематических выставок по следующим тематикам:</w:t>
      </w:r>
    </w:p>
    <w:p>
      <w:pPr>
        <w:pStyle w:val="Normal"/>
        <w:numPr>
          <w:ilvl w:val="0"/>
          <w:numId w:val="19"/>
        </w:numPr>
        <w:spacing w:lineRule="auto" w:line="240" w:before="0" w:after="0"/>
        <w:jc w:val="both"/>
        <w:rPr>
          <w:rFonts w:ascii="Nimbus Roman" w:hAnsi="Nimbus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Nimbus Roman" w:hAnsi="Nimbus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оформлении выставки рисунков «Портрет солдата глазами детей» </w:t>
      </w:r>
    </w:p>
    <w:p>
      <w:pPr>
        <w:pStyle w:val="Normal"/>
        <w:numPr>
          <w:ilvl w:val="0"/>
          <w:numId w:val="20"/>
        </w:numPr>
        <w:spacing w:lineRule="auto" w:line="240" w:before="0" w:after="0"/>
        <w:jc w:val="both"/>
        <w:rPr>
          <w:rFonts w:ascii="Nimbus Roman" w:hAnsi="Nimbus Roman"/>
          <w:color w:val="000000"/>
          <w:sz w:val="28"/>
          <w:szCs w:val="28"/>
        </w:rPr>
      </w:pPr>
      <w:r>
        <w:rPr>
          <w:rStyle w:val="Strong"/>
          <w:rFonts w:ascii="Nimbus Roman" w:hAnsi="Nimbus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урок мужества «Есть такая профессия — Родину защищать!»</w:t>
      </w:r>
      <w:r>
        <w:rPr>
          <w:rFonts w:ascii="Nimbus Roman" w:hAnsi="Nimbus Roman"/>
          <w:caps w:val="false"/>
          <w:smallCaps w:val="false"/>
          <w:color w:val="000000"/>
          <w:spacing w:val="0"/>
          <w:sz w:val="28"/>
          <w:szCs w:val="28"/>
        </w:rPr>
        <w:t> </w:t>
      </w:r>
    </w:p>
    <w:p>
      <w:pPr>
        <w:pStyle w:val="Normal"/>
        <w:spacing w:lineRule="auto" w:line="240" w:before="0" w:after="0"/>
        <w:jc w:val="both"/>
        <w:rPr>
          <w:rFonts w:ascii="Nimbus Roman" w:hAnsi="Nimbus Roman"/>
          <w:color w:val="000000"/>
          <w:sz w:val="28"/>
          <w:szCs w:val="28"/>
        </w:rPr>
      </w:pPr>
      <w:r>
        <w:rPr>
          <w:rFonts w:ascii="Nimbus Roman" w:hAnsi="Nimbus Roman"/>
          <w:color w:val="000000"/>
          <w:sz w:val="28"/>
          <w:szCs w:val="28"/>
        </w:rPr>
        <w:t>Для взаимодействия с родителями реализовывали совместный проект «Год защитника». В рамках него предусмотрели следующие форматы участия: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Nimbus Roman" w:hAnsi="Nimbus Roman"/>
          <w:color w:val="000000"/>
          <w:sz w:val="28"/>
          <w:szCs w:val="28"/>
        </w:rPr>
      </w:pPr>
      <w:r>
        <w:rPr>
          <w:rFonts w:ascii="Nimbus Roman" w:hAnsi="Nimbus Roman"/>
          <w:color w:val="000000"/>
          <w:sz w:val="28"/>
          <w:szCs w:val="28"/>
        </w:rPr>
        <w:t xml:space="preserve">составление рассказов на тему:  «О </w:t>
      </w:r>
      <w:r>
        <w:rPr>
          <w:rFonts w:ascii="Nimbus Roman" w:hAnsi="Nimbus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войне», «О подвигах наших воинов»,«О тружениках тыла»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Nimbus Roman" w:hAnsi="Nimbus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Nimbus Roman" w:hAnsi="Nimbus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акция «Читаем детям о войне»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Nimbus Roman" w:hAnsi="Nimbus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Nimbus Roman" w:hAnsi="Nimbus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выпуск семейной газеты «В здоровом теле — здоровый дух»</w:t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/>
      </w:pPr>
      <w:r>
        <w:rPr>
          <w:rFonts w:ascii="Nimbus Roman" w:hAnsi="Nimbus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мастер — класс </w:t>
      </w: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</w:t>
      </w:r>
      <w:r>
        <w:rPr>
          <w:rStyle w:val="Strong"/>
          <w:rFonts w:ascii="Nimbus Roman" w:hAnsi="Nimbus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Журавлик»</w:t>
      </w:r>
      <w:r>
        <w:rPr>
          <w:rFonts w:ascii="Nimbus Roman" w:hAnsi="Nimbus Roman"/>
          <w:caps w:val="false"/>
          <w:smallCaps w:val="false"/>
          <w:color w:val="000000"/>
          <w:spacing w:val="0"/>
          <w:sz w:val="28"/>
          <w:szCs w:val="28"/>
        </w:rPr>
        <w:t xml:space="preserve"> — </w:t>
      </w:r>
      <w:r>
        <w:rPr>
          <w:rFonts w:ascii="Nimbus Roman" w:hAnsi="Nimbus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изготовление журавликов, символизирующих погибших в ВОВ.</w:t>
      </w:r>
    </w:p>
    <w:p>
      <w:pPr>
        <w:pStyle w:val="Normal"/>
        <w:keepLines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Обучающиеся ДОУ ежегодно участвуют в конкурсах разного уровня и занимают призовые места.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 исполнении части 2 статьи 4 Федерального конституционного закона от 25.12.2000 № 1-ФКЗ, в целях воспитания патриотизма и уважения к государственной символике на здании ДОУ установлен флаг, а также флаг Российской Федерации расположен в помещении музыкального зала.</w:t>
      </w:r>
    </w:p>
    <w:p>
      <w:pPr>
        <w:pStyle w:val="Normal"/>
        <w:keepLines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keepLines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/>
      </w:pPr>
      <w:r>
        <w:rPr/>
        <w:t>Таблица № 3</w:t>
      </w:r>
    </w:p>
    <w:p>
      <w:pPr>
        <w:pStyle w:val="NormalWeb"/>
        <w:spacing w:beforeAutospacing="0" w:before="0" w:afterAutospacing="0" w:after="0"/>
        <w:jc w:val="right"/>
        <w:rPr>
          <w:sz w:val="8"/>
          <w:szCs w:val="8"/>
        </w:rPr>
      </w:pPr>
      <w:r>
        <w:rPr>
          <w:sz w:val="8"/>
          <w:szCs w:val="8"/>
        </w:rPr>
      </w:r>
    </w:p>
    <w:tbl>
      <w:tblPr>
        <w:tblStyle w:val="a3"/>
        <w:tblW w:w="141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62"/>
        <w:gridCol w:w="2549"/>
        <w:gridCol w:w="2554"/>
        <w:gridCol w:w="1275"/>
        <w:gridCol w:w="2835"/>
      </w:tblGrid>
      <w:tr>
        <w:trPr>
          <w:trHeight w:val="636" w:hRule="atLeast"/>
        </w:trPr>
        <w:tc>
          <w:tcPr>
            <w:tcW w:w="4962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Параметры</w:t>
            </w:r>
          </w:p>
        </w:tc>
        <w:tc>
          <w:tcPr>
            <w:tcW w:w="2549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104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(неудовлетворительно)</w:t>
            </w:r>
          </w:p>
        </w:tc>
        <w:tc>
          <w:tcPr>
            <w:tcW w:w="2554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(удовлетворительно)</w:t>
            </w:r>
          </w:p>
        </w:tc>
        <w:tc>
          <w:tcPr>
            <w:tcW w:w="1275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(хорошо)</w:t>
            </w:r>
          </w:p>
        </w:tc>
        <w:tc>
          <w:tcPr>
            <w:tcW w:w="2835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(отлично)</w:t>
            </w:r>
          </w:p>
        </w:tc>
      </w:tr>
      <w:tr>
        <w:trPr>
          <w:trHeight w:val="1102" w:hRule="atLeast"/>
        </w:trPr>
        <w:tc>
          <w:tcPr>
            <w:tcW w:w="496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 воспитанников-призеров конкурсов муниципального уровня (показатель за три последних учебных года)</w:t>
            </w:r>
          </w:p>
        </w:tc>
        <w:tc>
          <w:tcPr>
            <w:tcW w:w="2549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 последние три учебных года имеются воспитанники-призеры конкурсов муниципального уровня</w:t>
            </w:r>
          </w:p>
        </w:tc>
      </w:tr>
      <w:tr>
        <w:trPr/>
        <w:tc>
          <w:tcPr>
            <w:tcW w:w="496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 воспитанников-призеров конкурсов областного уровня (показатель за три последних года)</w:t>
            </w:r>
          </w:p>
        </w:tc>
        <w:tc>
          <w:tcPr>
            <w:tcW w:w="2549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</w:r>
          </w:p>
        </w:tc>
        <w:tc>
          <w:tcPr>
            <w:tcW w:w="127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 последние три учебных года имеются воспитанники-призеры конкурсов областного уровня</w:t>
            </w:r>
          </w:p>
        </w:tc>
      </w:tr>
      <w:tr>
        <w:trPr/>
        <w:tc>
          <w:tcPr>
            <w:tcW w:w="496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 воспитанников-участников конкурсов всероссийского уровня (показатель за три последних года)</w:t>
            </w:r>
          </w:p>
        </w:tc>
        <w:tc>
          <w:tcPr>
            <w:tcW w:w="2549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 последние три учебных года имеются воспитанники-призеры конкурсов всероссийского уровня, в том числе дистанционных</w:t>
            </w:r>
          </w:p>
        </w:tc>
      </w:tr>
      <w:tr>
        <w:trPr>
          <w:trHeight w:val="907" w:hRule="atLeast"/>
        </w:trPr>
        <w:tc>
          <w:tcPr>
            <w:tcW w:w="496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Количество кружков действующих на базе ДОУ (в том числе – на основе договоров с другими ОО)</w:t>
            </w:r>
          </w:p>
        </w:tc>
        <w:tc>
          <w:tcPr>
            <w:tcW w:w="2549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Договор №1 от 01.09.2025 г. МБУДО Центр детского творчества дополнительная общеобразовательная общеразвивающая программа художественной направленности «Фантазёры»</w:t>
            </w:r>
          </w:p>
        </w:tc>
      </w:tr>
      <w:tr>
        <w:trPr/>
        <w:tc>
          <w:tcPr>
            <w:tcW w:w="496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 воспитанников по индивидуальным образовательным маршрутам (включая воспитанников с ОВЗ)</w:t>
            </w:r>
          </w:p>
        </w:tc>
        <w:tc>
          <w:tcPr>
            <w:tcW w:w="2549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0 баллов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Нет</w:t>
            </w:r>
          </w:p>
        </w:tc>
        <w:tc>
          <w:tcPr>
            <w:tcW w:w="255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81" w:hRule="atLeast"/>
        </w:trPr>
        <w:tc>
          <w:tcPr>
            <w:tcW w:w="496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Обеспечение вариативности форм дошкольного образования в ДОУ</w:t>
            </w:r>
          </w:p>
        </w:tc>
        <w:tc>
          <w:tcPr>
            <w:tcW w:w="2549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0 баллов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Нет</w:t>
            </w:r>
          </w:p>
        </w:tc>
        <w:tc>
          <w:tcPr>
            <w:tcW w:w="255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525" w:hRule="atLeast"/>
        </w:trPr>
        <w:tc>
          <w:tcPr>
            <w:tcW w:w="496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у детей дошкольного возраста предпосылок к учебной деятельности на этапе завершения ими дошкольного образования</w:t>
            </w:r>
          </w:p>
        </w:tc>
        <w:tc>
          <w:tcPr>
            <w:tcW w:w="2549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 100%</w:t>
            </w: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выпускников ДОУ полностью сформированы предпосылки к учебной деятельности</w:t>
            </w:r>
          </w:p>
        </w:tc>
      </w:tr>
      <w:tr>
        <w:trPr/>
        <w:tc>
          <w:tcPr>
            <w:tcW w:w="496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Регулярность проведения мониторинговых исследований по выявлению потребностей и удовлетворенности родителей (законных представителей) реализуемой в ДОУ образовательной программой дошкольного образования</w:t>
            </w:r>
          </w:p>
        </w:tc>
        <w:tc>
          <w:tcPr>
            <w:tcW w:w="2549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Исследования проводятся не менее одного раза в год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6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Степень удовлетворенности родителей (законных представителей) реализуемой ДОУ образовательной программой дошкольного образования (средний показатель за три последних учебных года)</w:t>
            </w:r>
          </w:p>
        </w:tc>
        <w:tc>
          <w:tcPr>
            <w:tcW w:w="2549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98% родителей удовлетворены реализуемой ДОУ образовательной программой дошкольного образования</w:t>
            </w:r>
          </w:p>
        </w:tc>
      </w:tr>
      <w:tr>
        <w:trPr/>
        <w:tc>
          <w:tcPr>
            <w:tcW w:w="496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Мониторинг эффективности реализации основной образовательной программы дошкольного образования ДОУ</w:t>
            </w:r>
          </w:p>
        </w:tc>
        <w:tc>
          <w:tcPr>
            <w:tcW w:w="2549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Default"/>
              <w:widowControl/>
              <w:suppressAutoHyphens w:val="true"/>
              <w:spacing w:before="0" w:after="0"/>
              <w:ind w:left="-113" w:right="-101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Мониторинг проводится</w:t>
            </w:r>
          </w:p>
          <w:p>
            <w:pPr>
              <w:pStyle w:val="Default"/>
              <w:widowControl/>
              <w:suppressAutoHyphens w:val="true"/>
              <w:spacing w:before="0" w:after="0"/>
              <w:ind w:left="-113" w:right="-101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Times New Roman"/>
                <w:kern w:val="0"/>
                <w:lang w:val="ru-RU" w:eastAsia="ru-RU" w:bidi="ar-SA"/>
              </w:rPr>
              <w:t>в соответствии с Годовым планом (не менее 2 раз в год: сентябрь, май</w:t>
            </w:r>
            <w:r>
              <w:rPr>
                <w:kern w:val="0"/>
                <w:lang w:val="ru-RU" w:eastAsia="en-US" w:bidi="ar-SA"/>
              </w:rPr>
              <w:t>)</w:t>
            </w:r>
            <w:r>
              <w:rPr>
                <w:rFonts w:eastAsia="Times New Roman"/>
                <w:kern w:val="0"/>
                <w:lang w:val="ru-RU" w:eastAsia="ru-RU" w:bidi="ar-SA"/>
              </w:rPr>
              <w:t xml:space="preserve"> по пяти образовательным областям </w:t>
            </w:r>
            <w:r>
              <w:rPr>
                <w:kern w:val="0"/>
                <w:lang w:val="ru-RU" w:eastAsia="en-US" w:bidi="ar-SA"/>
              </w:rPr>
              <w:t>преимущественно на основе педагогических наблюдений за активностью детей в различные периоды пребывания их в ДОУ, анализа продуктов детской деятельности, бесед, дидактических игр и упражнений, анкетирования и интервьюирования родителей как экспертов в отношении особенностей их ребенка.</w:t>
            </w:r>
          </w:p>
        </w:tc>
      </w:tr>
      <w:tr>
        <w:trPr/>
        <w:tc>
          <w:tcPr>
            <w:tcW w:w="4962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Средний балл:</w:t>
            </w:r>
          </w:p>
        </w:tc>
        <w:tc>
          <w:tcPr>
            <w:tcW w:w="9213" w:type="dxa"/>
            <w:gridSpan w:val="4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2,4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Образовательная деятельность в ДОУ осуществляется с учетом национально - культурных, демографических, климатических и др. особенностей. Воспитание и обучение в детском саду имеет общедоступный характер. </w:t>
      </w:r>
    </w:p>
    <w:p>
      <w:pPr>
        <w:pStyle w:val="Normal"/>
        <w:spacing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tbl>
      <w:tblPr>
        <w:tblStyle w:val="a3"/>
        <w:tblW w:w="14033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9"/>
        <w:gridCol w:w="8363"/>
      </w:tblGrid>
      <w:tr>
        <w:trPr/>
        <w:tc>
          <w:tcPr>
            <w:tcW w:w="5669" w:type="dxa"/>
            <w:tcBorders/>
            <w:shd w:color="auto" w:fill="C2D69B" w:themeFill="accent3" w:themeFillTint="99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Особенности образовательного процесса</w:t>
            </w:r>
          </w:p>
        </w:tc>
        <w:tc>
          <w:tcPr>
            <w:tcW w:w="8363" w:type="dxa"/>
            <w:tcBorders/>
            <w:shd w:color="auto" w:fill="C2D69B" w:themeFill="accent3" w:themeFillTint="99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Какие факторы повлияли на результат?</w:t>
            </w:r>
          </w:p>
        </w:tc>
      </w:tr>
      <w:tr>
        <w:trPr>
          <w:trHeight w:val="563" w:hRule="atLeast"/>
        </w:trPr>
        <w:tc>
          <w:tcPr>
            <w:tcW w:w="5669" w:type="dxa"/>
            <w:tcBorders/>
            <w:shd w:color="auto" w:fill="F2DBDB" w:themeFill="accent2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Модернизация образовательного процесса</w:t>
            </w:r>
          </w:p>
        </w:tc>
        <w:tc>
          <w:tcPr>
            <w:tcW w:w="8363" w:type="dxa"/>
            <w:tcBorders/>
            <w:shd w:color="auto" w:fill="DAEEF3" w:themeFill="accent5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283"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Федеральный закон «Об образовании в Российской Федерации» № 273-ФЗ от 29.12.2012 г.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283"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Федеральный государственный образовательный стандарт дошкольного образования.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283"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Федеральная образовательная программа дошкольного образования (утверждена приказом Минпросвещения России от 25 ноября 2022 г. № 1028.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283"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Использование ИКТ.</w:t>
            </w:r>
          </w:p>
        </w:tc>
      </w:tr>
      <w:tr>
        <w:trPr>
          <w:trHeight w:val="408" w:hRule="atLeast"/>
        </w:trPr>
        <w:tc>
          <w:tcPr>
            <w:tcW w:w="5669" w:type="dxa"/>
            <w:tcBorders/>
            <w:shd w:color="auto" w:fill="F2DBDB" w:themeFill="accent2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Планирование</w:t>
            </w:r>
          </w:p>
        </w:tc>
        <w:tc>
          <w:tcPr>
            <w:tcW w:w="8363" w:type="dxa"/>
            <w:tcBorders/>
            <w:shd w:color="auto" w:fill="DAEEF3" w:themeFill="accent5" w:themeFillTint="33" w:val="clear"/>
          </w:tcPr>
          <w:p>
            <w:pPr>
              <w:pStyle w:val="ListParagraph"/>
              <w:widowControl/>
              <w:numPr>
                <w:ilvl w:val="0"/>
                <w:numId w:val="16"/>
              </w:numPr>
              <w:suppressAutoHyphens w:val="true"/>
              <w:spacing w:lineRule="auto" w:line="240" w:before="0" w:after="0"/>
              <w:ind w:hanging="283"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Календарно-тематический принцип планирования.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283"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Интеграция образовательных областей.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283"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Проектирование образовательной деятельности.</w:t>
            </w:r>
          </w:p>
        </w:tc>
      </w:tr>
      <w:tr>
        <w:trPr>
          <w:trHeight w:val="542" w:hRule="atLeast"/>
        </w:trPr>
        <w:tc>
          <w:tcPr>
            <w:tcW w:w="5669" w:type="dxa"/>
            <w:tcBorders/>
            <w:shd w:color="auto" w:fill="F2DBDB" w:themeFill="accent2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Индивидуально-дифференцированный подход к детям</w:t>
            </w:r>
          </w:p>
        </w:tc>
        <w:tc>
          <w:tcPr>
            <w:tcW w:w="8363" w:type="dxa"/>
            <w:tcBorders/>
            <w:shd w:color="auto" w:fill="DAEEF3" w:themeFill="accent5" w:themeFillTint="33" w:val="clear"/>
          </w:tcPr>
          <w:p>
            <w:pPr>
              <w:pStyle w:val="ListParagraph"/>
              <w:widowControl/>
              <w:numPr>
                <w:ilvl w:val="0"/>
                <w:numId w:val="15"/>
              </w:numPr>
              <w:suppressAutoHyphens w:val="true"/>
              <w:spacing w:lineRule="auto" w:line="240" w:before="0" w:after="0"/>
              <w:ind w:hanging="283"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Целенаправленная работа на основе изучения уровня развития каждого ребенка и наблюдений за его динамикой.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283"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атмосферы психологической комфортности, предполагающей психологическую защищенность каждого ребенка, обеспечение эмоционального комфорта, создание условий для самореализации.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283"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Поддержка детской инициативы и самостоятельности.</w:t>
            </w:r>
          </w:p>
        </w:tc>
      </w:tr>
      <w:tr>
        <w:trPr>
          <w:trHeight w:val="542" w:hRule="atLeast"/>
        </w:trPr>
        <w:tc>
          <w:tcPr>
            <w:tcW w:w="5669" w:type="dxa"/>
            <w:tcBorders/>
            <w:shd w:color="auto" w:fill="F2DBDB" w:themeFill="accent2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Партнерская деятельность взрослого с детьми</w:t>
            </w:r>
          </w:p>
        </w:tc>
        <w:tc>
          <w:tcPr>
            <w:tcW w:w="8363" w:type="dxa"/>
            <w:tcBorders/>
            <w:shd w:color="auto" w:fill="DAEEF3" w:themeFill="accent5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Ненавязчивая помощь детям, создание обстановки непринуждённости, взаимодействие с детьми на равных в разных видах деятельности (игровой, исследовательской, проектной и др.).</w:t>
            </w:r>
          </w:p>
        </w:tc>
      </w:tr>
      <w:tr>
        <w:trPr>
          <w:trHeight w:val="563" w:hRule="atLeast"/>
        </w:trPr>
        <w:tc>
          <w:tcPr>
            <w:tcW w:w="5669" w:type="dxa"/>
            <w:tcBorders/>
            <w:shd w:color="auto" w:fill="F2DBDB" w:themeFill="accent2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Разнообразие форм работы с детьми</w:t>
            </w:r>
          </w:p>
        </w:tc>
        <w:tc>
          <w:tcPr>
            <w:tcW w:w="8363" w:type="dxa"/>
            <w:tcBorders/>
            <w:shd w:color="auto" w:fill="DAEEF3" w:themeFill="accent5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Использование разных форм, методов, приемов: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проблемные ситуации;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игровые обучающие ситуации;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развивающие игры;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элементарное экспериментирование;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проектирование;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моделирование;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мастер-классы;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викторины;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праздники, досуги, развлечения;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52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и др.</w:t>
            </w:r>
          </w:p>
        </w:tc>
      </w:tr>
      <w:tr>
        <w:trPr>
          <w:trHeight w:val="542" w:hRule="atLeast"/>
        </w:trPr>
        <w:tc>
          <w:tcPr>
            <w:tcW w:w="5669" w:type="dxa"/>
            <w:tcBorders/>
            <w:shd w:color="auto" w:fill="F2DBDB" w:themeFill="accent2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Оптимизация режима</w:t>
            </w:r>
          </w:p>
        </w:tc>
        <w:tc>
          <w:tcPr>
            <w:tcW w:w="8363" w:type="dxa"/>
            <w:tcBorders/>
            <w:shd w:color="auto" w:fill="DAEEF3" w:themeFill="accent5" w:themeFillTint="33" w:val="clear"/>
          </w:tcPr>
          <w:p>
            <w:pPr>
              <w:pStyle w:val="ListParagraph"/>
              <w:widowControl/>
              <w:numPr>
                <w:ilvl w:val="0"/>
                <w:numId w:val="14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Определение объема оптимальной учебной нагрузки на обучающегося 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молодежи».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hanging="284" w:left="6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условий для адаптации вновь поступающих детей (организация щадящего режима).</w:t>
            </w:r>
          </w:p>
        </w:tc>
      </w:tr>
    </w:tbl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z w:val="28"/>
          <w:szCs w:val="28"/>
        </w:rPr>
        <w:t>В ДОУ разработана внутренняя система оценки качества образования, включающая в себя оценку деятельности ДОУ по всем направлениям.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keepLines/>
        <w:spacing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  <w:t xml:space="preserve">Мониторинг здоровья детей </w:t>
      </w:r>
    </w:p>
    <w:p>
      <w:pPr>
        <w:pStyle w:val="Normal"/>
        <w:keepLines/>
        <w:spacing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tbl>
      <w:tblPr>
        <w:tblStyle w:val="a3"/>
        <w:tblW w:w="14033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897"/>
        <w:gridCol w:w="2978"/>
        <w:gridCol w:w="3348"/>
        <w:gridCol w:w="2809"/>
      </w:tblGrid>
      <w:tr>
        <w:trPr/>
        <w:tc>
          <w:tcPr>
            <w:tcW w:w="4897" w:type="dxa"/>
            <w:tcBorders/>
            <w:shd w:color="auto" w:fill="C2D69B" w:themeFill="accent3" w:themeFillTint="99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8" w:type="dxa"/>
            <w:tcBorders/>
            <w:shd w:color="auto" w:fill="C2D69B" w:themeFill="accent3" w:themeFillTint="99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2023 г.</w:t>
            </w:r>
          </w:p>
        </w:tc>
        <w:tc>
          <w:tcPr>
            <w:tcW w:w="3348" w:type="dxa"/>
            <w:tcBorders/>
            <w:shd w:color="auto" w:fill="C2D69B" w:themeFill="accent3" w:themeFillTint="99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2024 г.</w:t>
            </w:r>
          </w:p>
        </w:tc>
        <w:tc>
          <w:tcPr>
            <w:tcW w:w="2809" w:type="dxa"/>
            <w:tcBorders/>
            <w:shd w:color="auto" w:fill="C2D69B" w:themeFill="accent3" w:themeFillTint="99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2025 г.</w:t>
            </w:r>
          </w:p>
        </w:tc>
      </w:tr>
      <w:tr>
        <w:trPr/>
        <w:tc>
          <w:tcPr>
            <w:tcW w:w="4897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Заболеваемость в детоднях на 1 ребенка</w:t>
            </w:r>
          </w:p>
        </w:tc>
        <w:tc>
          <w:tcPr>
            <w:tcW w:w="2978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13,0</w:t>
            </w:r>
          </w:p>
        </w:tc>
        <w:tc>
          <w:tcPr>
            <w:tcW w:w="3348" w:type="dxa"/>
            <w:tcBorders/>
            <w:shd w:color="auto" w:fill="FFFF99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16,8</w:t>
            </w:r>
          </w:p>
        </w:tc>
        <w:tc>
          <w:tcPr>
            <w:tcW w:w="2809" w:type="dxa"/>
            <w:tcBorders/>
            <w:shd w:color="auto" w:fill="DAEEF3" w:themeFill="accent5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19,3</w:t>
            </w:r>
          </w:p>
        </w:tc>
      </w:tr>
      <w:tr>
        <w:trPr/>
        <w:tc>
          <w:tcPr>
            <w:tcW w:w="4897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Заболеваемость в случаях на 1 ребёнка</w:t>
            </w:r>
          </w:p>
        </w:tc>
        <w:tc>
          <w:tcPr>
            <w:tcW w:w="2978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2,5</w:t>
            </w:r>
          </w:p>
        </w:tc>
        <w:tc>
          <w:tcPr>
            <w:tcW w:w="3348" w:type="dxa"/>
            <w:tcBorders/>
            <w:shd w:color="auto" w:fill="FFFF99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3,2</w:t>
            </w:r>
          </w:p>
        </w:tc>
        <w:tc>
          <w:tcPr>
            <w:tcW w:w="2809" w:type="dxa"/>
            <w:tcBorders/>
            <w:shd w:color="auto" w:fill="DAEEF3" w:themeFill="accent5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3,5</w:t>
            </w:r>
          </w:p>
        </w:tc>
      </w:tr>
      <w:tr>
        <w:trPr/>
        <w:tc>
          <w:tcPr>
            <w:tcW w:w="4897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Численность группы ЧБД</w:t>
            </w:r>
          </w:p>
        </w:tc>
        <w:tc>
          <w:tcPr>
            <w:tcW w:w="2978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348" w:type="dxa"/>
            <w:tcBorders/>
            <w:shd w:color="auto" w:fill="FFFF99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809" w:type="dxa"/>
            <w:tcBorders/>
            <w:shd w:color="auto" w:fill="DAEEF3" w:themeFill="accent5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</w:tr>
      <w:tr>
        <w:trPr/>
        <w:tc>
          <w:tcPr>
            <w:tcW w:w="4897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Индекс здоровья (%)</w:t>
            </w:r>
          </w:p>
        </w:tc>
        <w:tc>
          <w:tcPr>
            <w:tcW w:w="2978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3348" w:type="dxa"/>
            <w:tcBorders/>
            <w:shd w:color="auto" w:fill="FFFF99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2809" w:type="dxa"/>
            <w:tcBorders/>
            <w:shd w:color="auto" w:fill="DAEEF3" w:themeFill="accent5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1</w:t>
            </w:r>
            <w:bookmarkStart w:id="1" w:name="_Hlk162949789"/>
            <w:bookmarkEnd w:id="1"/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</w:tr>
    </w:tbl>
    <w:p>
      <w:pPr>
        <w:pStyle w:val="Normal"/>
        <w:keepLines/>
        <w:spacing w:before="0" w:after="0"/>
        <w:ind w:firstLine="709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cs="Times New Roman" w:ascii="Times New Roman" w:hAnsi="Times New Roman"/>
          <w:color w:val="C00000"/>
          <w:sz w:val="26"/>
          <w:szCs w:val="26"/>
        </w:rPr>
        <w:t xml:space="preserve"> </w:t>
      </w:r>
    </w:p>
    <w:p>
      <w:pPr>
        <w:pStyle w:val="Normal"/>
        <w:keepLines/>
        <w:spacing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Сравнительный анализ заболеваемости за три года показывает, что продолжительность заболеваний детей имеет тенденцию к увеличению, что объясняется рядом возможных причин: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увеличение количества детей с хроническими заболеваниями;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слабый иммунитет и, как следствие, увеличение количества часто и длительно болеющих детей;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вспышки инфекционных заболеваний таких как: внебольничная пневмония, ОРВИ, ветрянка;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малоподвижный  образ  жизни  в  семье  (чаще  всего  родители  занимают  детей  просмотром  мультфильмов  и компьютерными играми, не ограничивая их по времени);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невнимательное отношение родителей к здоровью своих детей (всё чаще дети приходят в детский сад с признаками болезни, из-за чего заражаются здоровые дети, кроме того родители приводят детей в детский сад после болезни не долеченными и, как следствие, дети начинают болеть повторно).</w:t>
      </w:r>
    </w:p>
    <w:p>
      <w:pPr>
        <w:pStyle w:val="Normal"/>
        <w:keepLines/>
        <w:spacing w:before="0" w:after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b/>
          <w:color w:themeColor="text1" w:val="000000"/>
          <w:sz w:val="28"/>
          <w:szCs w:val="28"/>
        </w:rPr>
        <w:t>-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и др.</w:t>
      </w:r>
    </w:p>
    <w:p>
      <w:pPr>
        <w:pStyle w:val="Normal"/>
        <w:keepLines/>
        <w:spacing w:before="0" w:after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keepLines/>
        <w:spacing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  <w:t>Эффективность физкультурно - оздоровительной работы</w:t>
      </w:r>
    </w:p>
    <w:p>
      <w:pPr>
        <w:pStyle w:val="Normal"/>
        <w:keepLines/>
        <w:spacing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i/>
          <w:color w:val="C00000"/>
          <w:sz w:val="16"/>
          <w:szCs w:val="16"/>
        </w:rPr>
      </w:r>
    </w:p>
    <w:p>
      <w:pPr>
        <w:pStyle w:val="Normal"/>
        <w:keepLines/>
        <w:spacing w:lineRule="auto" w:line="240" w:before="0" w:after="0"/>
        <w:rPr>
          <w:rFonts w:ascii="Times New Roman" w:hAnsi="Times New Roman" w:cs="Times New Roman"/>
          <w:sz w:val="8"/>
          <w:szCs w:val="8"/>
        </w:rPr>
      </w:pPr>
      <w:r>
        <w:rPr>
          <w:rFonts w:cs="Times New Roman" w:ascii="Times New Roman" w:hAnsi="Times New Roman"/>
          <w:sz w:val="8"/>
          <w:szCs w:val="8"/>
        </w:rPr>
      </w:r>
    </w:p>
    <w:tbl>
      <w:tblPr>
        <w:tblStyle w:val="a3"/>
        <w:tblW w:w="96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063"/>
        <w:gridCol w:w="3537"/>
        <w:gridCol w:w="3039"/>
      </w:tblGrid>
      <w:tr>
        <w:trPr/>
        <w:tc>
          <w:tcPr>
            <w:tcW w:w="3063" w:type="dxa"/>
            <w:tcBorders/>
            <w:shd w:color="auto" w:fill="C2D69B" w:themeFill="accent3" w:themeFillTint="99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2022 – 2023 уч. г.</w:t>
            </w:r>
          </w:p>
        </w:tc>
        <w:tc>
          <w:tcPr>
            <w:tcW w:w="3537" w:type="dxa"/>
            <w:tcBorders/>
            <w:shd w:color="auto" w:fill="C2D69B" w:themeFill="accent3" w:themeFillTint="99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2023 – 2024 уч. г.</w:t>
            </w:r>
          </w:p>
        </w:tc>
        <w:tc>
          <w:tcPr>
            <w:tcW w:w="3039" w:type="dxa"/>
            <w:tcBorders/>
            <w:shd w:color="auto" w:fill="C2D69B" w:themeFill="accent3" w:themeFillTint="99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2024 – 2025 уч. г.</w:t>
            </w:r>
          </w:p>
        </w:tc>
      </w:tr>
      <w:tr>
        <w:trPr/>
        <w:tc>
          <w:tcPr>
            <w:tcW w:w="3063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16,7%</w:t>
            </w:r>
          </w:p>
        </w:tc>
        <w:tc>
          <w:tcPr>
            <w:tcW w:w="3537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17,4%</w:t>
            </w:r>
          </w:p>
        </w:tc>
        <w:tc>
          <w:tcPr>
            <w:tcW w:w="3039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18,6%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</w:t>
      </w:r>
      <w:r>
        <w:rPr>
          <w:rFonts w:cs="Times New Roman" w:ascii="Nimbus Roman" w:hAnsi="Nimbus Roman"/>
          <w:color w:val="000000"/>
          <w:sz w:val="28"/>
          <w:szCs w:val="28"/>
        </w:rPr>
        <w:t>В рамках физического развития проводились образовательно - досуговые мероприятия: «Защитники отечества», «Кубок Победы» — согласно календарному плану воспитательной работы детского сада. Также в возрастных группах проводятся Дни здоровья с участием родителей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8"/>
          <w:szCs w:val="8"/>
        </w:rPr>
      </w:pPr>
      <w:r>
        <w:rPr>
          <w:rFonts w:eastAsia="Times New Roman" w:cs="Times New Roman" w:ascii="Times New Roman" w:hAnsi="Times New Roman"/>
          <w:color w:themeColor="text1" w:val="000000"/>
          <w:sz w:val="8"/>
          <w:szCs w:val="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color w:val="C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color w:val="C00000"/>
          <w:sz w:val="28"/>
          <w:szCs w:val="28"/>
        </w:rPr>
        <w:t>Результативность достижений обучающихся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color w:val="C00000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i/>
          <w:color w:val="C00000"/>
          <w:sz w:val="16"/>
          <w:szCs w:val="16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color w:val="C00000"/>
          <w:sz w:val="8"/>
          <w:szCs w:val="8"/>
        </w:rPr>
      </w:pPr>
      <w:r>
        <w:rPr>
          <w:rFonts w:eastAsia="Times New Roman" w:cs="Times New Roman" w:ascii="Times New Roman" w:hAnsi="Times New Roman"/>
          <w:b/>
          <w:i/>
          <w:color w:val="C00000"/>
          <w:sz w:val="8"/>
          <w:szCs w:val="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8"/>
          <w:szCs w:val="8"/>
        </w:rPr>
      </w:pPr>
      <w:r>
        <w:rPr>
          <w:rFonts w:eastAsia="Times New Roman" w:cs="Times New Roman" w:ascii="Times New Roman" w:hAnsi="Times New Roman"/>
          <w:b/>
          <w:sz w:val="8"/>
          <w:szCs w:val="8"/>
        </w:rPr>
      </w:r>
    </w:p>
    <w:tbl>
      <w:tblPr>
        <w:tblW w:w="14009" w:type="dxa"/>
        <w:jc w:val="left"/>
        <w:tblInd w:w="2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8"/>
        <w:gridCol w:w="2743"/>
        <w:gridCol w:w="1700"/>
        <w:gridCol w:w="1844"/>
        <w:gridCol w:w="1843"/>
        <w:gridCol w:w="1880"/>
        <w:gridCol w:w="1848"/>
        <w:gridCol w:w="1691"/>
      </w:tblGrid>
      <w:tr>
        <w:trPr>
          <w:trHeight w:val="349" w:hRule="exact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2D69B" w:themeFill="accent3" w:themeFillTint="99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2D69B" w:themeFill="accent3" w:themeFillTint="99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Компетентности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2D69B" w:themeFill="accent3" w:themeFillTint="99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b/>
                <w:color w:themeColor="text1" w:val="000000"/>
                <w:sz w:val="24"/>
                <w:szCs w:val="24"/>
              </w:rPr>
              <w:t>0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sz w:val="24"/>
                <w:szCs w:val="24"/>
              </w:rPr>
              <w:t>2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– 2</w:t>
            </w:r>
            <w:r>
              <w:rPr>
                <w:rFonts w:cs="Times New Roman" w:ascii="Times New Roman" w:hAnsi="Times New Roman"/>
                <w:b/>
                <w:color w:themeColor="text1" w:val="000000"/>
                <w:sz w:val="24"/>
                <w:szCs w:val="24"/>
              </w:rPr>
              <w:t>0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23 уч. г.</w:t>
            </w:r>
          </w:p>
        </w:tc>
        <w:tc>
          <w:tcPr>
            <w:tcW w:w="3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2D69B" w:themeFill="accent3" w:themeFillTint="99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2023 -2024 уч. г.</w:t>
            </w:r>
          </w:p>
        </w:tc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2D69B" w:themeFill="accent3" w:themeFillTint="99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2024 -2025 уч. г.</w:t>
            </w:r>
          </w:p>
        </w:tc>
      </w:tr>
      <w:tr>
        <w:trPr>
          <w:trHeight w:val="340" w:hRule="exact"/>
        </w:trPr>
        <w:tc>
          <w:tcPr>
            <w:tcW w:w="4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2D69B" w:themeFill="accent3" w:themeFillTint="99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2D69B" w:themeFill="accent3" w:themeFillTint="99" w:val="clear"/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2D69B" w:themeFill="accent3" w:themeFillTint="99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2D69B" w:themeFill="accent3" w:themeFillTint="99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2D69B" w:themeFill="accent3" w:themeFillTint="99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2D69B" w:themeFill="accent3" w:themeFillTint="99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2D69B" w:themeFill="accent3" w:themeFillTint="99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2D69B" w:themeFill="accent3" w:themeFillTint="99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>
        <w:trPr>
          <w:trHeight w:val="383" w:hRule="exac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Социальная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4,2</w:t>
            </w:r>
          </w:p>
        </w:tc>
      </w:tr>
      <w:tr>
        <w:trPr>
          <w:trHeight w:val="366" w:hRule="exac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4,2</w:t>
            </w:r>
          </w:p>
        </w:tc>
      </w:tr>
      <w:tr>
        <w:trPr>
          <w:trHeight w:val="347" w:hRule="exac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Деятельностная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4,1</w:t>
            </w:r>
          </w:p>
        </w:tc>
      </w:tr>
      <w:tr>
        <w:trPr>
          <w:trHeight w:val="407" w:hRule="exac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</w:t>
            </w: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4,3</w:t>
            </w:r>
          </w:p>
        </w:tc>
      </w:tr>
      <w:tr>
        <w:trPr>
          <w:trHeight w:val="413" w:hRule="exac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Здоровьесберегающая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3,8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4,5</w:t>
            </w:r>
          </w:p>
        </w:tc>
      </w:tr>
      <w:tr>
        <w:trPr>
          <w:trHeight w:val="727" w:hRule="exact"/>
        </w:trPr>
        <w:tc>
          <w:tcPr>
            <w:tcW w:w="3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Средний балл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4,3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4,3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C00000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C00000"/>
          <w:sz w:val="28"/>
          <w:szCs w:val="28"/>
        </w:rPr>
        <w:t xml:space="preserve">Уровень овладения необходимыми навыками и умениями </w:t>
      </w:r>
    </w:p>
    <w:p>
      <w:pPr>
        <w:pStyle w:val="Normal"/>
        <w:spacing w:lineRule="auto" w:line="240" w:before="0" w:after="0"/>
        <w:ind w:left="-142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C00000"/>
          <w:sz w:val="28"/>
          <w:szCs w:val="28"/>
        </w:rPr>
        <w:t>по образовательным областям в 2024-2025 учебном году</w:t>
      </w:r>
    </w:p>
    <w:p>
      <w:pPr>
        <w:pStyle w:val="Normal"/>
        <w:spacing w:lineRule="auto" w:line="240" w:before="0" w:after="0"/>
        <w:ind w:left="-142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C00000"/>
          <w:sz w:val="28"/>
          <w:szCs w:val="28"/>
        </w:rPr>
      </w:r>
    </w:p>
    <w:p>
      <w:pPr>
        <w:pStyle w:val="Normal"/>
        <w:spacing w:before="0" w:after="0"/>
        <w:ind w:left="-142"/>
        <w:jc w:val="center"/>
        <w:rPr>
          <w:rFonts w:ascii="Times New Roman" w:hAnsi="Times New Roman" w:cs="Times New Roman"/>
          <w:b/>
          <w:bCs/>
          <w:color w:val="C00000"/>
          <w:sz w:val="8"/>
          <w:szCs w:val="8"/>
        </w:rPr>
      </w:pPr>
      <w:r>
        <w:rPr>
          <w:rFonts w:cs="Times New Roman" w:ascii="Times New Roman" w:hAnsi="Times New Roman"/>
          <w:b/>
          <w:bCs/>
          <w:color w:val="C00000"/>
          <w:sz w:val="8"/>
          <w:szCs w:val="8"/>
        </w:rPr>
      </w:r>
    </w:p>
    <w:tbl>
      <w:tblPr>
        <w:tblW w:w="13885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81"/>
        <w:gridCol w:w="1380"/>
        <w:gridCol w:w="1098"/>
        <w:gridCol w:w="1143"/>
        <w:gridCol w:w="1062"/>
        <w:gridCol w:w="1094"/>
        <w:gridCol w:w="1126"/>
        <w:gridCol w:w="1069"/>
        <w:gridCol w:w="960"/>
        <w:gridCol w:w="1182"/>
        <w:gridCol w:w="1088"/>
      </w:tblGrid>
      <w:tr>
        <w:trPr>
          <w:trHeight w:val="1134" w:hRule="exact"/>
        </w:trPr>
        <w:tc>
          <w:tcPr>
            <w:tcW w:w="2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Образовательные области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               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>
        <w:trPr>
          <w:trHeight w:val="332" w:hRule="atLeast"/>
        </w:trPr>
        <w:tc>
          <w:tcPr>
            <w:tcW w:w="26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к.г.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к.г.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к.г.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к.г.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к.г.</w:t>
            </w:r>
          </w:p>
        </w:tc>
      </w:tr>
      <w:tr>
        <w:trPr>
          <w:trHeight w:val="454" w:hRule="atLeast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38</w:t>
            </w:r>
          </w:p>
        </w:tc>
      </w:tr>
      <w:tr>
        <w:trPr>
          <w:trHeight w:val="510" w:hRule="exact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Средний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C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55</w:t>
            </w:r>
          </w:p>
        </w:tc>
      </w:tr>
      <w:tr>
        <w:trPr>
          <w:trHeight w:val="510" w:hRule="exact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C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Низкий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C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C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C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C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C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C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C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C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C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C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8"/>
                <w:szCs w:val="8"/>
              </w:rPr>
            </w:pPr>
            <w:r>
              <w:rPr>
                <w:rFonts w:eastAsia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>
      <w:pPr>
        <w:pStyle w:val="Normal"/>
        <w:tabs>
          <w:tab w:val="clear" w:pos="708"/>
          <w:tab w:val="left" w:pos="495" w:leader="none"/>
          <w:tab w:val="center" w:pos="4819" w:leader="none"/>
          <w:tab w:val="right" w:pos="963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95" w:leader="none"/>
          <w:tab w:val="center" w:pos="4819" w:leader="none"/>
          <w:tab w:val="right" w:pos="963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Данные мониторинга, представленные в таблице, показывают хорошую работу педагогического коллектива. Прослеживается положительная динамика усвоения Программы по всем направлениям (образовательным областям</w:t>
      </w:r>
      <w:r>
        <w:rPr>
          <w:rFonts w:cs="Times New Roman" w:ascii="Times New Roman" w:hAnsi="Times New Roman"/>
          <w:color w:themeColor="text1" w:val="000000"/>
          <w:sz w:val="28"/>
          <w:szCs w:val="28"/>
          <w:shd w:fill="FFFFFF" w:val="clear"/>
        </w:rPr>
        <w:t>)</w:t>
      </w:r>
      <w:r>
        <w:rPr>
          <w:rFonts w:cs="Times New Roman" w:ascii="Times New Roman" w:hAnsi="Times New Roman"/>
          <w:sz w:val="28"/>
          <w:szCs w:val="28"/>
        </w:rPr>
        <w:t>. Преобладающее большинство показателей соответствуют высокому и среднему уровню.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Педагоги ДОУ активно используют наглядные средства обучения в процессе организации образовательного процесса, способны организовывать любой вид деятельности с детьми, поддерживать детскую инициативу и самостоятельность. С целью стимулирования творческой активности и развития творческих способностей у детей педагоги используют различные нетрадиционные технологии. </w:t>
      </w:r>
    </w:p>
    <w:p>
      <w:pPr>
        <w:pStyle w:val="Normal"/>
        <w:tabs>
          <w:tab w:val="clear" w:pos="708"/>
          <w:tab w:val="left" w:pos="495" w:leader="none"/>
          <w:tab w:val="center" w:pos="4819" w:leader="none"/>
          <w:tab w:val="right" w:pos="963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ListParagraph"/>
        <w:spacing w:before="0" w:after="0"/>
        <w:ind w:left="0"/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Лучшие аспекты образовательного процесса</w:t>
      </w:r>
    </w:p>
    <w:p>
      <w:pPr>
        <w:pStyle w:val="ListParagraph"/>
        <w:spacing w:before="0" w:after="0"/>
        <w:ind w:left="0"/>
        <w:contextualSpacing/>
        <w:jc w:val="center"/>
        <w:rPr>
          <w:rFonts w:ascii="Times New Roman" w:hAnsi="Times New Roman" w:cs="Times New Roman"/>
          <w:b/>
          <w:color w:val="C00000"/>
          <w:sz w:val="16"/>
          <w:szCs w:val="16"/>
          <w:vertAlign w:val="subscript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  <w:vertAlign w:val="subscript"/>
        </w:rPr>
      </w:r>
    </w:p>
    <w:tbl>
      <w:tblPr>
        <w:tblStyle w:val="a3"/>
        <w:tblW w:w="14028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033"/>
        <w:gridCol w:w="7994"/>
      </w:tblGrid>
      <w:tr>
        <w:trPr>
          <w:trHeight w:val="480" w:hRule="atLeast"/>
        </w:trPr>
        <w:tc>
          <w:tcPr>
            <w:tcW w:w="6033" w:type="dxa"/>
            <w:tcBorders/>
            <w:shd w:color="auto" w:fill="C2D69B" w:themeFill="accent3" w:themeFillTint="99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Наиболее сильные особенности образовательного процесса</w:t>
            </w:r>
          </w:p>
        </w:tc>
        <w:tc>
          <w:tcPr>
            <w:tcW w:w="7994" w:type="dxa"/>
            <w:tcBorders/>
            <w:shd w:color="auto" w:fill="C2D69B" w:themeFill="accent3" w:themeFillTint="99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Какие факторы повлияли на результат?</w:t>
            </w:r>
          </w:p>
        </w:tc>
      </w:tr>
      <w:tr>
        <w:trPr/>
        <w:tc>
          <w:tcPr>
            <w:tcW w:w="6033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переориентация технологий обучения на развитие личности;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самооценка компонентов профессиональной деятельности педагогических работников;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повышение уровня общей культуры педагогических работников.</w:t>
            </w:r>
          </w:p>
        </w:tc>
        <w:tc>
          <w:tcPr>
            <w:tcW w:w="799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оборудование развивающей предметно - пространственной среды, ее пополнение и обновление;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создание атмосферы эмоционального благополучия и психологического комфорта, обеспечение успешности жизнедеятельности каждого воспитанника;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 использование педагогами современных педагогических технологий обучения,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разработка и реализация проектов,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компьютеризация и информатизация образовательного процесса.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themeColor="text1" w:val="000000"/>
          <w:sz w:val="16"/>
          <w:szCs w:val="16"/>
        </w:rPr>
      </w:pP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color w:themeColor="text1" w:val="000000"/>
          <w:sz w:val="26"/>
          <w:szCs w:val="26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Образовательный процесс, его содержание и применяемые педагогические технологии переходят на новую ступень, отвечающую запросам общества.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16"/>
          <w:szCs w:val="16"/>
        </w:rPr>
      </w:pPr>
      <w:r>
        <w:rPr>
          <w:rFonts w:cs="Times New Roman" w:ascii="Times New Roman" w:hAnsi="Times New Roman"/>
          <w:color w:themeColor="text1" w:val="000000"/>
          <w:sz w:val="16"/>
          <w:szCs w:val="16"/>
        </w:rPr>
        <w:t xml:space="preserve">                       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  <w:t>Что более всего нуждается в улучшении, и какие действия для этого необходимо предпринять?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i/>
          <w:color w:val="C00000"/>
          <w:sz w:val="16"/>
          <w:szCs w:val="16"/>
        </w:rPr>
      </w:r>
    </w:p>
    <w:tbl>
      <w:tblPr>
        <w:tblStyle w:val="a3"/>
        <w:tblW w:w="14175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44"/>
        <w:gridCol w:w="7230"/>
      </w:tblGrid>
      <w:tr>
        <w:trPr/>
        <w:tc>
          <w:tcPr>
            <w:tcW w:w="6944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Аспекты преподавания, нуждающиеся в улучшении</w:t>
            </w:r>
          </w:p>
        </w:tc>
        <w:tc>
          <w:tcPr>
            <w:tcW w:w="7230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Какие действия для этого необходимо предпринять?</w:t>
            </w:r>
          </w:p>
        </w:tc>
      </w:tr>
      <w:tr>
        <w:trPr/>
        <w:tc>
          <w:tcPr>
            <w:tcW w:w="6944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недостаточно эффективное использование проектной деятельности, как формы построения образовательного процесса;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недостаточно активное участие педагогов в методических мероприятиях и конкурсах профессионального мастерства разного уровня;</w:t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отсутствие устойчивой положительной динамики результативности усвоения детьми Программы по отдельным направлениям (образовательным областям);</w:t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неуверенное владение ИКТ.</w:t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30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активизировать работу по реализации различного вида проектов;</w:t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повысить эффективность работы по реализации задач образовательных областей с низкой результативностью усвоения;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реализовать комплекс методических мероприятий, направленных на формирование/совершенствование ИКТ-компетенций у педагогов с целью обеспечения качества образовательной деятельности с применением дистанционных образовательных технологий;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организовать обучение педагогов по тематическим дополнительным профессиональным программам (повышение квалификации).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14175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44"/>
        <w:gridCol w:w="7230"/>
      </w:tblGrid>
      <w:tr>
        <w:trPr/>
        <w:tc>
          <w:tcPr>
            <w:tcW w:w="6944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Лучшее, инновационное в Программе</w:t>
            </w:r>
          </w:p>
        </w:tc>
        <w:tc>
          <w:tcPr>
            <w:tcW w:w="7230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Какие факторы повлияли на результат?</w:t>
            </w:r>
          </w:p>
        </w:tc>
      </w:tr>
      <w:tr>
        <w:trPr>
          <w:trHeight w:val="421" w:hRule="atLeast"/>
        </w:trPr>
        <w:tc>
          <w:tcPr>
            <w:tcW w:w="6944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создание модели образовательного процесса в соответствии с ФГОС ДО и ФОП ДО;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обновление содержания, ориентированного на результат, в зависимости от индивидуальных особенностей развития обучающихся.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230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комплексный подход к реализации Программы;</w:t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построение и организация образовательного процесса на основе сравнительного анализа результатов мониторинга усвоения воспитанниками ДОУ Программы;</w:t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индивидуализация образовательного процесса;</w:t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стремление педагогов к совершенствованию образовательного процесса посредством использования современных технологий и методик.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Web"/>
        <w:spacing w:beforeAutospacing="0" w:before="0" w:afterAutospacing="0" w:after="0"/>
        <w:jc w:val="both"/>
        <w:rPr>
          <w:rFonts w:eastAsia="Calibri" w:eastAsiaTheme="minorHAnsi"/>
          <w:sz w:val="26"/>
          <w:szCs w:val="26"/>
          <w:lang w:eastAsia="en-US"/>
        </w:rPr>
      </w:pPr>
      <w:r>
        <w:rPr>
          <w:rFonts w:eastAsia="Calibri" w:eastAsiaTheme="minorHAnsi"/>
          <w:sz w:val="26"/>
          <w:szCs w:val="26"/>
          <w:lang w:eastAsia="en-US"/>
        </w:rPr>
        <w:tab/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b/>
          <w:color w:val="C00000"/>
          <w:sz w:val="28"/>
          <w:szCs w:val="28"/>
        </w:rPr>
        <w:t>3. БЕЗОПАСНОСТЬ ОБРАЗОВАТЕЛЬНОГО ПРОЦЕССА, ОСУЩЕСТВЛЕНИЯ ПРИСМОТРА И УХОДА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Современная жизнь в сложных условиях социального, техногенного, природного и экологического неблагополучия доказала необходимость обеспечения безопасности жизнедеятельности, потребовала обучения сотрудников ДОУ, обучающихся и их родителей правилам безопасности. Сложившаяся в настоящий момент ситуация поставила нас перед необходимостью систематизации работы по трём направлениям: предвидеть, научить, уберечь. Понятие безопасности в ДОУ ранее включало в себя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нее вошли и такие понятия, как экологическая катастрофа и терроризм.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работу по данному направлению включены все участники образовательного процесса: обучающиеся, сотрудники, родители. </w:t>
      </w:r>
      <w:r>
        <w:rPr>
          <w:i/>
          <w:sz w:val="28"/>
          <w:szCs w:val="28"/>
        </w:rPr>
        <w:t>Работа с обучающимися</w:t>
      </w:r>
      <w:r>
        <w:rPr>
          <w:sz w:val="28"/>
          <w:szCs w:val="28"/>
        </w:rPr>
        <w:t xml:space="preserve"> включает в себя формирование представлений об опасных и вредных факторах, чрезвычайных ситуациях и воспитание навыков адекватного поведения в различных неординарных ситуациях. </w:t>
      </w:r>
      <w:r>
        <w:rPr>
          <w:i/>
          <w:sz w:val="28"/>
          <w:szCs w:val="28"/>
        </w:rPr>
        <w:t>Работа с сотрудниками</w:t>
      </w:r>
      <w:r>
        <w:rPr>
          <w:sz w:val="28"/>
          <w:szCs w:val="28"/>
        </w:rPr>
        <w:t xml:space="preserve"> строится на изучении нормативно-правовых документов, локальных актов, приказов по учреждению, инструкций по технике безопасности, должностных инструкций и обеспечении контроля за исполнением данных инструкций. </w:t>
      </w:r>
      <w:r>
        <w:rPr>
          <w:i/>
          <w:sz w:val="28"/>
          <w:szCs w:val="28"/>
        </w:rPr>
        <w:t>Работа с родителями</w:t>
      </w:r>
      <w:r>
        <w:rPr>
          <w:sz w:val="28"/>
          <w:szCs w:val="28"/>
        </w:rPr>
        <w:t xml:space="preserve"> носит профилактическую направленность и осуществляется в виде бесед, консультаций, наглядной пропаганды и вовлечения родителей в совместную деятельность.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В целях обеспечения </w:t>
      </w:r>
      <w:r>
        <w:rPr>
          <w:rFonts w:cs="Times New Roman" w:ascii="Times New Roman" w:hAnsi="Times New Roman"/>
          <w:sz w:val="28"/>
          <w:szCs w:val="28"/>
        </w:rPr>
        <w:t xml:space="preserve">безопасности в ДОУ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разработаны: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Паспорт комплексной безопасности;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Паспорт </w:t>
      </w:r>
      <w:r>
        <w:rPr>
          <w:rFonts w:eastAsia="Calibri" w:cs="Times New Roman" w:ascii="Times New Roman" w:hAnsi="Times New Roman"/>
          <w:sz w:val="28"/>
          <w:szCs w:val="28"/>
        </w:rPr>
        <w:t>антитеррористич</w:t>
      </w:r>
      <w:r>
        <w:rPr>
          <w:rFonts w:cs="Times New Roman" w:ascii="Times New Roman" w:hAnsi="Times New Roman"/>
          <w:sz w:val="28"/>
          <w:szCs w:val="28"/>
        </w:rPr>
        <w:t>еской безопасности;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Паспорт дорожной безопасности;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изданы приказы: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 организации антитеррористической защиты;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 назначении должностных лиц, ответственных за проведение мероприятий по противодействию терроризму и экстремизму;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 назначении ответственных лиц за использование и сохранность кнопки тревожной сигнализации;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имеются памятки, в том числе при срабатывании организации взрывного устройства, в том числе доставленного беспилотным летальным аппаратом, инструкции по действиям при угрозе теракта.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В ДОУ </w:t>
      </w:r>
      <w:r>
        <w:rPr>
          <w:rFonts w:cs="Times New Roman" w:ascii="Times New Roman" w:hAnsi="Times New Roman"/>
          <w:sz w:val="28"/>
          <w:szCs w:val="28"/>
        </w:rPr>
        <w:t>соблюдается пропускной режим, который регламентируется следующими документами: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Положение об организации контрольно-пропускного режима,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приказ об организации </w:t>
      </w:r>
      <w:r>
        <w:rPr>
          <w:rFonts w:eastAsia="Calibri" w:cs="Times New Roman" w:ascii="Times New Roman" w:hAnsi="Times New Roman"/>
          <w:sz w:val="28"/>
          <w:szCs w:val="28"/>
        </w:rPr>
        <w:t xml:space="preserve">пропускного режима.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Осуществляется контроль за появлением бесхозных транспортных средств в непосредственной близости от территории ДОУ. В целях обеспечения безопасности функционирования ДОУ используются следующие технические средства: система пожарной сигнализации, система оперативного оповещения дежурных подразделений УВД о факте незаконного вторжения или проникновения в детский сад (кнопка тревожной сигнализации), система видеонаблюдения за территорией ДОУ, система оповещения и управления эвакуацией «Антитеррор».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сегодняшний день в ДОУ</w:t>
      </w:r>
      <w:r>
        <w:rPr>
          <w:rFonts w:eastAsia="Calibri" w:cs="Times New Roman" w:ascii="Times New Roman" w:hAnsi="Times New Roman"/>
          <w:sz w:val="28"/>
          <w:szCs w:val="28"/>
        </w:rPr>
        <w:t xml:space="preserve"> приобретены и поддерживаются в состоянии постоянной готовности первичные средства пожаротушения – огнетушители.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Ежегодно в соответстви</w:t>
      </w:r>
      <w:r>
        <w:rPr>
          <w:rFonts w:cs="Times New Roman" w:ascii="Times New Roman" w:hAnsi="Times New Roman"/>
          <w:sz w:val="28"/>
          <w:szCs w:val="28"/>
        </w:rPr>
        <w:t>и с планом проводятся тренировочные занятия по эвакуации</w:t>
      </w: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 случай пожара, а также по отработке действий сотрудников и детей в условиях ЧС</w:t>
      </w:r>
      <w:r>
        <w:rPr>
          <w:rFonts w:eastAsia="Calibri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В рамках Недели безопасности ежегодно проводятся разъяснительные беседы с обучающимися и родителями, обновляется информация на стендах и в Уголках безопасности, проводятся развивающие игры, занятия, организуется показ обучающих видеороликов и многое другое.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2D3E4E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ДОУ </w:t>
      </w:r>
      <w:r>
        <w:rPr>
          <w:rFonts w:eastAsia="Calibri" w:cs="Times New Roman" w:ascii="Times New Roman" w:hAnsi="Times New Roman"/>
          <w:sz w:val="28"/>
          <w:szCs w:val="28"/>
        </w:rPr>
        <w:t>тесно сотрудничает с сотрудниками ОГИБДД МО МВД России «Вичугский»; ОНД и ПР г.о. Вичуга, Вичугского, Родниковского и Лухского районов; ГУ МЧС России по Ивановской области (проводятся инструктажи с персоналом ДОУ, тематические занятия и беседы с обучающимися и их родителями).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 связи с нарастающим глобальным процессом активного формирования и широкомаштабного использования информационных ресурсов особое значение приобретает информационная безопасность. В нашем ДОУ уделяется большое внимание профилактике информационной безопасности.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Разработано: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Положение об официальном Сайте МБДОУ д/с №5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Положение об обработке и защите персональных данных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Положение о защите детей от информации, причиняющей вред их здоровью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правила использования сети Интернет в МБДОУ д/с №5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Издан приказ «Об информационной безопасности в ДОУ»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с детьми;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педагогами;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родителями.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 детьми старшего дошкольного возраста проводятся: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беседы, решение ситуативных задач;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тренинги;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-занятия по теме «Информационная безопасность», «Компьютер и я»: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для родителей: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проводятся родительские собрания с включением вопросов на темы: «Персональные данные», «Роль семьи в обеспечении информационной безопасности детей»;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консультации «Как правильно подходить к выбору и просмотру телепередач и мультфильмов для детей дошкольников», «Влияние мультфильмов на гендерное воспитание детей дошкольников»;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стендовая информация «Борьба с сетевыми угрозами»;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памятки «Безопасный интернет», «Приёмы организации родительского контроля при работе в Интернете».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 педагогами: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консультации «Влияние предметно — развивающей среды на формирование культуры дошкольников», «Обеспечение психологической безопасности личности дошкольника», «Дети в интернете», «Информационная безопасность дошкольников»;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круглый стол «Обеспечение информационной безопасности дошкольника»;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Экологическая безопасность в ДОУ — элемент построения здорового и безопасного образовательного пространства. Она направлена на обеспечение здоровья и благополучия детей,позволяет создать условия для развития их осознанности и ответственности. Основные задачи экологической безопасности в детском саду: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использование безопасных материалов и оборудования. Всё оснащение игрушки и мебель должны быть проверены на отсутствие опасных веществ;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обеспечение здоровой пищи;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поддержка природного разнообразия. Прилегающая территория организована таким образом, что создаются условия для существования и развития растений и животных;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 культура обращения с отходами. Ведётся разъяснительная  работа с воспитанниками, почему нужно соблюдать систему раздельного сбора мусора;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включены занятия, где дети изучают природу, животный и растительный мир;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- повышение экологической осведомлённости родителей.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Издан приказ: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 назначении лица ответственного за экологическую безопасность и выполнение мероприятий по охране окружающей среды;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Добросовестное выполнение указанных аспектов экологической безопасности  позволяет создать безопасную и здоровую среду для развития обучающихся и воспитания принципов ответственности.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2D3E4E"/>
          <w:sz w:val="28"/>
          <w:szCs w:val="28"/>
        </w:rPr>
      </w:pPr>
      <w:r>
        <w:rPr>
          <w:rFonts w:eastAsia="Times New Roman" w:cs="Times New Roman" w:ascii="Times New Roman" w:hAnsi="Times New Roman"/>
          <w:color w:val="2D3E4E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Проводимая в ДОУ работа </w:t>
      </w:r>
      <w:r>
        <w:rPr>
          <w:rFonts w:eastAsia="Calibri" w:cs="Times New Roman" w:ascii="Times New Roman" w:hAnsi="Times New Roman"/>
          <w:sz w:val="28"/>
          <w:szCs w:val="28"/>
        </w:rPr>
        <w:t xml:space="preserve">по созданию безопасного образовательного пространства позволила достичь следующих </w:t>
      </w:r>
      <w:r>
        <w:rPr>
          <w:rFonts w:cs="Times New Roman" w:ascii="Times New Roman" w:hAnsi="Times New Roman"/>
          <w:sz w:val="28"/>
          <w:szCs w:val="28"/>
        </w:rPr>
        <w:t xml:space="preserve">положительных </w:t>
      </w:r>
      <w:r>
        <w:rPr>
          <w:rFonts w:eastAsia="Calibri" w:cs="Times New Roman" w:ascii="Times New Roman" w:hAnsi="Times New Roman"/>
          <w:sz w:val="28"/>
          <w:szCs w:val="28"/>
        </w:rPr>
        <w:t>результатов: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Актуализированы и систематизированы локальные нормативно - правовые акты в сфере обе</w:t>
      </w:r>
      <w:r>
        <w:rPr>
          <w:rFonts w:cs="Times New Roman" w:ascii="Times New Roman" w:hAnsi="Times New Roman"/>
          <w:sz w:val="28"/>
          <w:szCs w:val="28"/>
        </w:rPr>
        <w:t>спечения безопасности в ДОУ</w:t>
      </w:r>
      <w:r>
        <w:rPr>
          <w:rFonts w:eastAsia="Calibri" w:cs="Times New Roman" w:ascii="Times New Roman" w:hAnsi="Times New Roman"/>
          <w:sz w:val="28"/>
          <w:szCs w:val="28"/>
        </w:rPr>
        <w:t>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Наблюдается рост профессиональной компетентности педагогов в данном направлении.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Разработаны и внедрены в практику учебно-методические материалы для педагогов, обучающихся и их родителей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Накоплен опыт по организации безопасного образовательного пространства.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ListParagraph"/>
        <w:spacing w:lineRule="auto" w:line="240" w:before="0" w:after="0"/>
        <w:ind w:firstLine="709" w:left="720"/>
        <w:contextualSpacing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</w:r>
    </w:p>
    <w:p>
      <w:pPr>
        <w:pStyle w:val="ListParagraph"/>
        <w:spacing w:lineRule="auto" w:line="240" w:before="0" w:after="0"/>
        <w:ind w:firstLine="709" w:left="720"/>
        <w:contextualSpacing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</w:r>
    </w:p>
    <w:p>
      <w:pPr>
        <w:pStyle w:val="ListParagraph"/>
        <w:spacing w:lineRule="auto" w:line="240" w:before="0" w:after="0"/>
        <w:ind w:firstLine="709" w:left="720"/>
        <w:contextualSpacing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</w:r>
    </w:p>
    <w:p>
      <w:pPr>
        <w:pStyle w:val="ListParagraph"/>
        <w:spacing w:lineRule="auto" w:line="240" w:before="0" w:after="0"/>
        <w:ind w:firstLine="709" w:left="720"/>
        <w:contextualSpacing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  <w:t>Оценка состояния безопасности</w:t>
      </w:r>
    </w:p>
    <w:p>
      <w:pPr>
        <w:pStyle w:val="ListParagraph"/>
        <w:spacing w:lineRule="auto" w:line="240" w:before="0"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№ 4</w:t>
      </w:r>
    </w:p>
    <w:p>
      <w:pPr>
        <w:pStyle w:val="ListParagraph"/>
        <w:spacing w:lineRule="auto" w:line="240" w:before="0" w:after="0"/>
        <w:contextualSpacing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cs="Times New Roman" w:ascii="Times New Roman" w:hAnsi="Times New Roman"/>
          <w:sz w:val="8"/>
          <w:szCs w:val="8"/>
        </w:rPr>
      </w:r>
    </w:p>
    <w:tbl>
      <w:tblPr>
        <w:tblStyle w:val="a3"/>
        <w:tblW w:w="14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26"/>
        <w:gridCol w:w="2835"/>
        <w:gridCol w:w="2411"/>
        <w:gridCol w:w="2693"/>
        <w:gridCol w:w="3118"/>
      </w:tblGrid>
      <w:tr>
        <w:trPr>
          <w:trHeight w:val="736" w:hRule="atLeast"/>
        </w:trPr>
        <w:tc>
          <w:tcPr>
            <w:tcW w:w="3226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Параметры</w:t>
            </w:r>
          </w:p>
        </w:tc>
        <w:tc>
          <w:tcPr>
            <w:tcW w:w="2835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(неудовлетворительно)</w:t>
            </w:r>
          </w:p>
        </w:tc>
        <w:tc>
          <w:tcPr>
            <w:tcW w:w="2411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(удовлетворительно)</w:t>
            </w:r>
          </w:p>
        </w:tc>
        <w:tc>
          <w:tcPr>
            <w:tcW w:w="2693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(хорошо)</w:t>
            </w:r>
          </w:p>
        </w:tc>
        <w:tc>
          <w:tcPr>
            <w:tcW w:w="3118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(отлично)</w:t>
            </w:r>
          </w:p>
        </w:tc>
      </w:tr>
      <w:tr>
        <w:trPr/>
        <w:tc>
          <w:tcPr>
            <w:tcW w:w="322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Нарушения по охране жизни и здоровья детей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(за последние три года)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Надзорными органами нарушений не выявлено.</w:t>
            </w:r>
          </w:p>
        </w:tc>
      </w:tr>
      <w:tr>
        <w:trPr/>
        <w:tc>
          <w:tcPr>
            <w:tcW w:w="322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Процент воспитанников, с которыми произошел случай травматизма во время образовательного процесса (средний показатель за последние три года)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 последние 3 года не произошло ни одного случая травматизма.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Посещаемость ребенком группы ДОУ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2023 год – 68%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2024 год – 83%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2025 год – 71%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Динамика посещаемости имеет нестабильный характер, что объясняется рядом причин:</w:t>
            </w:r>
          </w:p>
          <w:p>
            <w:pPr>
              <w:pStyle w:val="ListParagraph"/>
              <w:widowControl/>
              <w:numPr>
                <w:ilvl w:val="0"/>
                <w:numId w:val="17"/>
              </w:numPr>
              <w:suppressAutoHyphens w:val="true"/>
              <w:spacing w:lineRule="auto" w:line="240" w:before="0" w:after="0"/>
              <w:ind w:hanging="173" w:left="173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последних трех лет группы закрывались на карантин из-за увеличения количества заболевших;</w:t>
            </w:r>
          </w:p>
          <w:p>
            <w:pPr>
              <w:pStyle w:val="ListParagraph"/>
              <w:widowControl/>
              <w:numPr>
                <w:ilvl w:val="0"/>
                <w:numId w:val="17"/>
              </w:numPr>
              <w:suppressAutoHyphens w:val="true"/>
              <w:spacing w:lineRule="auto" w:line="240" w:before="0" w:after="0"/>
              <w:ind w:hanging="173" w:left="173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по-прежнему большое количество дней выпадает из-за летних отпусков.</w:t>
            </w:r>
          </w:p>
        </w:tc>
        <w:tc>
          <w:tcPr>
            <w:tcW w:w="3118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Санитарно-гигиенический режим в ДОУ (за последние три года)</w:t>
            </w:r>
          </w:p>
        </w:tc>
        <w:tc>
          <w:tcPr>
            <w:tcW w:w="2835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ходе плановой проверки ДОУ Роспотребнадзором были выявлены нарушения.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Большинство нарушений устранено в установленные сроки.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охранно-пожарной сигнализации,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тревожной кнопки,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забора вокруг здания ДОУ;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круглосуточной охраны территории ДОУ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1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ДОУ имеется: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охранно-пожарная сигнализация с выводом сигнала «Пожар» на пульт централизованного наблюдения МЧС России по Ивановской области;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тревожная кнопка;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система оповещения «Антитеррор»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забор вокруг здания ДОУ имеется по всему периметру;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с одной стороны (центральный вход) имеется видеонаблюдение за территорией;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 ночные часы охрана осуществляется сторожами.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Регулярность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проведения мониторинговых исследований по выявлению удовлетворенности родителей (законных представителей) обеспечением присмотра и ухода в ДОУ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</w:r>
          </w:p>
        </w:tc>
        <w:tc>
          <w:tcPr>
            <w:tcW w:w="311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Исследования проводятся регулярно не менее 1 раза в год.</w:t>
            </w:r>
          </w:p>
        </w:tc>
      </w:tr>
      <w:tr>
        <w:trPr/>
        <w:tc>
          <w:tcPr>
            <w:tcW w:w="322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Степень удовлетворенности родителей обеспечением присмотра и ухода в ДОУ (средний показатель за три последних учебных года)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Средний показатель степени удовлетворенности родителей обучающихся обеспечением безопасности, заботы и поддержки в ДОУ-</w:t>
            </w: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98%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/>
            <w:shd w:color="auto" w:fill="D6E3BC" w:themeFill="accent3" w:themeFillTint="66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Средняя оценка:</w:t>
            </w:r>
          </w:p>
        </w:tc>
        <w:tc>
          <w:tcPr>
            <w:tcW w:w="11057" w:type="dxa"/>
            <w:gridSpan w:val="4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 xml:space="preserve">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2,7  балла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Степень удовлетворенности родителей обучающихся обеспечением безопасности, заботы и поддержки в ДОУ</w:t>
      </w:r>
    </w:p>
    <w:p>
      <w:pPr>
        <w:pStyle w:val="ListParagraph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(</w:t>
      </w:r>
      <w:r>
        <w:rPr>
          <w:rFonts w:cs="Times New Roman" w:ascii="Times New Roman" w:hAnsi="Times New Roman"/>
          <w:b/>
          <w:i/>
          <w:sz w:val="28"/>
          <w:szCs w:val="28"/>
        </w:rPr>
        <w:t>результаты мониторинга)</w:t>
      </w:r>
    </w:p>
    <w:p>
      <w:pPr>
        <w:pStyle w:val="ListParagraph"/>
        <w:spacing w:before="0" w:after="0"/>
        <w:contextualSpacing/>
        <w:jc w:val="center"/>
        <w:rPr>
          <w:rFonts w:ascii="Times New Roman" w:hAnsi="Times New Roman" w:cs="Times New Roman"/>
          <w:b/>
          <w:i/>
          <w:i/>
          <w:sz w:val="16"/>
          <w:szCs w:val="16"/>
        </w:rPr>
      </w:pPr>
      <w:r>
        <w:rPr>
          <w:rFonts w:cs="Times New Roman" w:ascii="Times New Roman" w:hAnsi="Times New Roman"/>
          <w:b/>
          <w:i/>
          <w:sz w:val="16"/>
          <w:szCs w:val="16"/>
        </w:rPr>
      </w:r>
    </w:p>
    <w:tbl>
      <w:tblPr>
        <w:tblStyle w:val="a3"/>
        <w:tblW w:w="142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24"/>
        <w:gridCol w:w="4609"/>
        <w:gridCol w:w="4545"/>
      </w:tblGrid>
      <w:tr>
        <w:trPr/>
        <w:tc>
          <w:tcPr>
            <w:tcW w:w="5124" w:type="dxa"/>
            <w:tcBorders/>
            <w:shd w:color="auto" w:fill="C2D69B" w:themeFill="accent3" w:themeFillTint="99" w:val="clear"/>
          </w:tcPr>
          <w:p>
            <w:pPr>
              <w:pStyle w:val="NormalWeb"/>
              <w:widowControl/>
              <w:suppressAutoHyphens w:val="true"/>
              <w:spacing w:lineRule="auto" w:line="276" w:before="0" w:after="0"/>
              <w:jc w:val="center"/>
              <w:rPr>
                <w:b/>
                <w:i/>
                <w:i/>
                <w:color w:val="000000"/>
              </w:rPr>
            </w:pPr>
            <w:r>
              <w:rPr>
                <w:b/>
                <w:i/>
                <w:color w:val="000000"/>
                <w:kern w:val="0"/>
                <w:lang w:val="ru-RU" w:bidi="ar-SA"/>
              </w:rPr>
              <w:t>Учебные годы</w:t>
            </w:r>
          </w:p>
        </w:tc>
        <w:tc>
          <w:tcPr>
            <w:tcW w:w="4609" w:type="dxa"/>
            <w:tcBorders/>
            <w:shd w:color="auto" w:fill="C2D69B" w:themeFill="accent3" w:themeFillTint="99" w:val="clear"/>
          </w:tcPr>
          <w:p>
            <w:pPr>
              <w:pStyle w:val="NormalWeb"/>
              <w:widowControl/>
              <w:suppressAutoHyphens w:val="true"/>
              <w:spacing w:lineRule="auto" w:line="276" w:before="0" w:after="0"/>
              <w:jc w:val="center"/>
              <w:rPr>
                <w:b/>
                <w:i/>
                <w:i/>
                <w:color w:val="000000"/>
              </w:rPr>
            </w:pPr>
            <w:r>
              <w:rPr>
                <w:b/>
                <w:i/>
                <w:color w:val="000000"/>
                <w:kern w:val="0"/>
                <w:lang w:val="ru-RU" w:bidi="ar-SA"/>
              </w:rPr>
              <w:t>%  опрошенных родителей</w:t>
            </w:r>
          </w:p>
        </w:tc>
        <w:tc>
          <w:tcPr>
            <w:tcW w:w="4545" w:type="dxa"/>
            <w:tcBorders/>
            <w:shd w:color="auto" w:fill="C2D69B" w:themeFill="accent3" w:themeFillTint="99" w:val="clear"/>
          </w:tcPr>
          <w:p>
            <w:pPr>
              <w:pStyle w:val="NormalWeb"/>
              <w:widowControl/>
              <w:suppressAutoHyphens w:val="true"/>
              <w:spacing w:lineRule="auto" w:line="276" w:before="0" w:after="0"/>
              <w:jc w:val="center"/>
              <w:rPr>
                <w:b/>
                <w:i/>
                <w:i/>
                <w:color w:val="000000"/>
              </w:rPr>
            </w:pPr>
            <w:r>
              <w:rPr>
                <w:b/>
                <w:i/>
                <w:color w:val="000000"/>
                <w:kern w:val="0"/>
                <w:lang w:val="ru-RU" w:bidi="ar-SA"/>
              </w:rPr>
              <w:t>% удовлетворенности</w:t>
            </w:r>
          </w:p>
        </w:tc>
      </w:tr>
      <w:tr>
        <w:trPr/>
        <w:tc>
          <w:tcPr>
            <w:tcW w:w="5124" w:type="dxa"/>
            <w:tcBorders/>
            <w:shd w:color="auto" w:fill="F2DBDB" w:themeFill="accent2" w:themeFillTint="33" w:val="clear"/>
          </w:tcPr>
          <w:p>
            <w:pPr>
              <w:pStyle w:val="NormalWeb"/>
              <w:widowControl/>
              <w:suppressAutoHyphens w:val="true"/>
              <w:spacing w:lineRule="auto" w:line="276"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>2022 – 2023</w:t>
            </w:r>
          </w:p>
        </w:tc>
        <w:tc>
          <w:tcPr>
            <w:tcW w:w="4609" w:type="dxa"/>
            <w:tcBorders/>
            <w:shd w:color="auto" w:fill="DAEEF3" w:themeFill="accent5" w:themeFillTint="33" w:val="clear"/>
          </w:tcPr>
          <w:p>
            <w:pPr>
              <w:pStyle w:val="NormalWeb"/>
              <w:widowControl/>
              <w:suppressAutoHyphens w:val="true"/>
              <w:spacing w:lineRule="auto" w:line="276"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93</w:t>
            </w:r>
          </w:p>
        </w:tc>
        <w:tc>
          <w:tcPr>
            <w:tcW w:w="4545" w:type="dxa"/>
            <w:tcBorders/>
            <w:shd w:color="auto" w:fill="F2DBDB" w:themeFill="accent2" w:themeFillTint="33" w:val="clear"/>
          </w:tcPr>
          <w:p>
            <w:pPr>
              <w:pStyle w:val="NormalWeb"/>
              <w:widowControl/>
              <w:suppressAutoHyphens w:val="true"/>
              <w:spacing w:lineRule="auto" w:line="276"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98</w:t>
            </w:r>
          </w:p>
        </w:tc>
      </w:tr>
      <w:tr>
        <w:trPr/>
        <w:tc>
          <w:tcPr>
            <w:tcW w:w="5124" w:type="dxa"/>
            <w:tcBorders/>
            <w:shd w:color="auto" w:fill="F2DBDB" w:themeFill="accent2" w:themeFillTint="33" w:val="clear"/>
          </w:tcPr>
          <w:p>
            <w:pPr>
              <w:pStyle w:val="NormalWeb"/>
              <w:widowControl/>
              <w:suppressAutoHyphens w:val="true"/>
              <w:spacing w:lineRule="auto" w:line="276"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>2023 – 2024</w:t>
            </w:r>
          </w:p>
        </w:tc>
        <w:tc>
          <w:tcPr>
            <w:tcW w:w="4609" w:type="dxa"/>
            <w:tcBorders/>
            <w:shd w:color="auto" w:fill="DAEEF3" w:themeFill="accent5" w:themeFillTint="33" w:val="clear"/>
          </w:tcPr>
          <w:p>
            <w:pPr>
              <w:pStyle w:val="NormalWeb"/>
              <w:widowControl/>
              <w:suppressAutoHyphens w:val="true"/>
              <w:spacing w:lineRule="auto" w:line="276"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93</w:t>
            </w:r>
          </w:p>
        </w:tc>
        <w:tc>
          <w:tcPr>
            <w:tcW w:w="4545" w:type="dxa"/>
            <w:tcBorders/>
            <w:shd w:color="auto" w:fill="F2DBDB" w:themeFill="accent2" w:themeFillTint="33" w:val="clear"/>
          </w:tcPr>
          <w:p>
            <w:pPr>
              <w:pStyle w:val="NormalWeb"/>
              <w:widowControl/>
              <w:suppressAutoHyphens w:val="true"/>
              <w:spacing w:lineRule="auto" w:line="276"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99</w:t>
            </w:r>
          </w:p>
        </w:tc>
      </w:tr>
      <w:tr>
        <w:trPr/>
        <w:tc>
          <w:tcPr>
            <w:tcW w:w="5124" w:type="dxa"/>
            <w:tcBorders/>
            <w:shd w:color="auto" w:fill="F2DBDB" w:themeFill="accent2" w:themeFillTint="33" w:val="clear"/>
          </w:tcPr>
          <w:p>
            <w:pPr>
              <w:pStyle w:val="NormalWeb"/>
              <w:widowControl/>
              <w:suppressAutoHyphens w:val="true"/>
              <w:spacing w:lineRule="auto" w:line="276"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>2024 – 2025</w:t>
            </w:r>
          </w:p>
        </w:tc>
        <w:tc>
          <w:tcPr>
            <w:tcW w:w="4609" w:type="dxa"/>
            <w:tcBorders/>
            <w:shd w:color="auto" w:fill="DAEEF3" w:themeFill="accent5" w:themeFillTint="33" w:val="clear"/>
          </w:tcPr>
          <w:p>
            <w:pPr>
              <w:pStyle w:val="NormalWeb"/>
              <w:widowControl/>
              <w:suppressAutoHyphens w:val="true"/>
              <w:spacing w:lineRule="auto" w:line="276"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95</w:t>
            </w:r>
          </w:p>
        </w:tc>
        <w:tc>
          <w:tcPr>
            <w:tcW w:w="4545" w:type="dxa"/>
            <w:tcBorders/>
            <w:shd w:color="auto" w:fill="F2DBDB" w:themeFill="accent2" w:themeFillTint="33" w:val="clear"/>
          </w:tcPr>
          <w:p>
            <w:pPr>
              <w:pStyle w:val="NormalWeb"/>
              <w:widowControl/>
              <w:suppressAutoHyphens w:val="true"/>
              <w:spacing w:lineRule="auto" w:line="276"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98</w:t>
            </w:r>
          </w:p>
        </w:tc>
      </w:tr>
      <w:tr>
        <w:trPr/>
        <w:tc>
          <w:tcPr>
            <w:tcW w:w="5124" w:type="dxa"/>
            <w:tcBorders/>
            <w:shd w:color="auto" w:fill="F2DBDB" w:themeFill="accent2" w:themeFillTint="33" w:val="clear"/>
          </w:tcPr>
          <w:p>
            <w:pPr>
              <w:pStyle w:val="NormalWeb"/>
              <w:widowControl/>
              <w:suppressAutoHyphens w:val="true"/>
              <w:spacing w:lineRule="auto" w:line="276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Средний показатель за три последних года</w:t>
            </w:r>
          </w:p>
        </w:tc>
        <w:tc>
          <w:tcPr>
            <w:tcW w:w="4609" w:type="dxa"/>
            <w:tcBorders/>
            <w:shd w:color="auto" w:fill="DAEEF3" w:themeFill="accent5" w:themeFillTint="33" w:val="clear"/>
          </w:tcPr>
          <w:p>
            <w:pPr>
              <w:pStyle w:val="NormalWeb"/>
              <w:widowControl/>
              <w:suppressAutoHyphens w:val="true"/>
              <w:spacing w:lineRule="auto" w:line="276"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93</w:t>
            </w:r>
          </w:p>
        </w:tc>
        <w:tc>
          <w:tcPr>
            <w:tcW w:w="4545" w:type="dxa"/>
            <w:tcBorders/>
            <w:shd w:color="auto" w:fill="F2DBDB" w:themeFill="accent2" w:themeFillTint="33" w:val="clear"/>
          </w:tcPr>
          <w:p>
            <w:pPr>
              <w:pStyle w:val="NormalWeb"/>
              <w:widowControl/>
              <w:suppressAutoHyphens w:val="true"/>
              <w:spacing w:lineRule="auto" w:line="276"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98</w:t>
            </w:r>
          </w:p>
        </w:tc>
      </w:tr>
    </w:tbl>
    <w:p>
      <w:pPr>
        <w:pStyle w:val="NormalWeb"/>
        <w:spacing w:beforeAutospacing="0" w:before="0" w:afterAutospacing="0" w:after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8"/>
          <w:szCs w:val="28"/>
        </w:rPr>
        <w:t>В целом условия, созданные в ДОУ, соответствуют требованиям безопасности. Работа в данном направлении продолжается.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8"/>
          <w:szCs w:val="8"/>
        </w:rPr>
      </w:pPr>
      <w:r>
        <w:rPr>
          <w:rFonts w:cs="Times New Roman" w:ascii="Times New Roman" w:hAnsi="Times New Roman"/>
          <w:b/>
          <w:color w:val="C00000"/>
          <w:sz w:val="8"/>
          <w:szCs w:val="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 xml:space="preserve">Перечень работ по укреплению безопасности, выполненных в 2024-2025 учебном году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tbl>
      <w:tblPr>
        <w:tblW w:w="14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02"/>
        <w:gridCol w:w="11480"/>
      </w:tblGrid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Работы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Электротехнические измерения плиты на пищеблоке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Актуализирован антикризисный план действий в ЧС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hd w:val="clear" w:color="auto" w:fill="DAEEF3" w:themeFill="accent5" w:themeFillTint="33"/>
              <w:tabs>
                <w:tab w:val="clear" w:pos="708"/>
                <w:tab w:val="left" w:pos="47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Плановый медицинский осмотр работников</w:t>
            </w:r>
          </w:p>
        </w:tc>
      </w:tr>
      <w:tr>
        <w:trPr/>
        <w:tc>
          <w:tcPr>
            <w:tcW w:w="2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hd w:val="clear" w:color="auto" w:fill="DAEEF3" w:themeFill="accent5" w:themeFillTint="33"/>
              <w:tabs>
                <w:tab w:val="clear" w:pos="708"/>
                <w:tab w:val="left" w:pos="47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Психиатрическое освидетельствование педагогических работников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hd w:val="clear" w:color="auto" w:fill="DAEEF3" w:themeFill="accent5" w:themeFillTint="33"/>
              <w:tabs>
                <w:tab w:val="clear" w:pos="708"/>
                <w:tab w:val="left" w:pos="47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 за безопасностью оборудования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Проведены инструктажи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Проведены учебные тренировки по эвакуации обучающихся и персонала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Актуализированы номера телефонов оперативных и дежурных служб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Разработана программа производственного контроля</w:t>
            </w:r>
          </w:p>
        </w:tc>
      </w:tr>
      <w:tr>
        <w:trPr>
          <w:trHeight w:val="364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Актуализированы инструкции</w:t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Техническое обследование конструкций здания и систем инженерно-технического обеспечения</w:t>
            </w:r>
          </w:p>
        </w:tc>
      </w:tr>
      <w:tr>
        <w:trPr/>
        <w:tc>
          <w:tcPr>
            <w:tcW w:w="2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Замена десяти оконных блоков</w:t>
            </w:r>
          </w:p>
        </w:tc>
      </w:tr>
      <w:tr>
        <w:trPr/>
        <w:tc>
          <w:tcPr>
            <w:tcW w:w="2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Утверждён новый паспорт безопасности</w:t>
            </w:r>
          </w:p>
        </w:tc>
      </w:tr>
      <w:tr>
        <w:trPr/>
        <w:tc>
          <w:tcPr>
            <w:tcW w:w="2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Проведены испытания электроустановок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Таким образом, в ДОУ ведётся систематическая работа по созданию безопасных условий сохранения жизни и здоровья обучающихся и работников, а также материальных ценностей ДОУ от возможных несчастных случаев, пожаров, аварий и других чрезвычайных ситуаций. </w:t>
      </w:r>
      <w:r>
        <w:rPr>
          <w:rFonts w:cs="Times New Roman" w:ascii="Times New Roman" w:hAnsi="Times New Roman"/>
          <w:sz w:val="24"/>
          <w:szCs w:val="24"/>
        </w:rPr>
        <w:t>Качество  работы по данному направлению зависит не только от оснащенности ДОУ самыми современными техникой и оборудованием, но и прежде всего от человеческого фактора, т. е. от грамотности и компетентности людей, отвечающих за безопасность в ДОУ, от слаженности  совместной работы,  от подготовленности детей и работников ДОУ к действиям в чрезвычайных ситуациях.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Что более всего нуждается в улучшении и какие действия для этого необходимо предпринять?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tbl>
      <w:tblPr>
        <w:tblStyle w:val="a3"/>
        <w:tblW w:w="142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60"/>
        <w:gridCol w:w="11917"/>
      </w:tblGrid>
      <w:tr>
        <w:trPr/>
        <w:tc>
          <w:tcPr>
            <w:tcW w:w="2360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Сферы улучшения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11917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Какие действия необходимо предпринять</w:t>
            </w:r>
          </w:p>
        </w:tc>
      </w:tr>
      <w:tr>
        <w:trPr>
          <w:trHeight w:val="1491" w:hRule="atLeast"/>
        </w:trPr>
        <w:tc>
          <w:tcPr>
            <w:tcW w:w="2360" w:type="dxa"/>
            <w:vMerge w:val="restart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Охрана жизни и здоровья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917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tabs>
                <w:tab w:val="clear" w:pos="708"/>
                <w:tab w:val="left" w:pos="31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 xml:space="preserve">   </w:t>
            </w: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1. Материально-техническая база:</w:t>
            </w:r>
          </w:p>
          <w:p>
            <w:pPr>
              <w:pStyle w:val="Normal"/>
              <w:widowControl/>
              <w:tabs>
                <w:tab w:val="clear" w:pos="708"/>
                <w:tab w:val="left" w:pos="31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 соответствии с предъявляемыми требованиями приобрести необходимое оборудование для медицинского кабинета (динамометр, плантограф и т.д.);</w:t>
            </w:r>
          </w:p>
          <w:p>
            <w:pPr>
              <w:pStyle w:val="Normal"/>
              <w:widowControl/>
              <w:tabs>
                <w:tab w:val="clear" w:pos="708"/>
                <w:tab w:val="left" w:pos="31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подвести горячую воду или установить резервные водонагреватели в умывальную комнату группы № 3;</w:t>
            </w:r>
          </w:p>
          <w:p>
            <w:pPr>
              <w:pStyle w:val="Normal"/>
              <w:widowControl/>
              <w:tabs>
                <w:tab w:val="clear" w:pos="708"/>
                <w:tab w:val="left" w:pos="31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заменить забор по фасадной части здания</w:t>
            </w:r>
          </w:p>
        </w:tc>
      </w:tr>
      <w:tr>
        <w:trPr>
          <w:trHeight w:val="2212" w:hRule="atLeast"/>
        </w:trPr>
        <w:tc>
          <w:tcPr>
            <w:tcW w:w="2360" w:type="dxa"/>
            <w:vMerge w:val="continue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17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tabs>
                <w:tab w:val="clear" w:pos="708"/>
                <w:tab w:val="left" w:pos="31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2. Методическое сопровождение:</w:t>
            </w:r>
          </w:p>
          <w:p>
            <w:pPr>
              <w:pStyle w:val="Normal"/>
              <w:widowControl/>
              <w:tabs>
                <w:tab w:val="clear" w:pos="708"/>
                <w:tab w:val="left" w:pos="31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своевременно корректировать программу «Здоровье», а также план профилактической и оздоровительной работы;</w:t>
            </w:r>
          </w:p>
          <w:p>
            <w:pPr>
              <w:pStyle w:val="Normal"/>
              <w:widowControl/>
              <w:tabs>
                <w:tab w:val="clear" w:pos="708"/>
                <w:tab w:val="left" w:pos="31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приобрести новые наглядные и методические пособия в соответствии с ФГОС ДО и ФОП ДО по пропаганде здорового образа жизни;</w:t>
            </w:r>
          </w:p>
          <w:p>
            <w:pPr>
              <w:pStyle w:val="Normal"/>
              <w:widowControl/>
              <w:tabs>
                <w:tab w:val="clear" w:pos="708"/>
                <w:tab w:val="left" w:pos="31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выстраивать работу</w:t>
            </w: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соответствии с планом мероприятий по вовлечению родителей обучающихся в процесс воспитания у детей привычки к здоровому образу жизни;</w:t>
            </w:r>
          </w:p>
          <w:p>
            <w:pPr>
              <w:pStyle w:val="Normal"/>
              <w:widowControl/>
              <w:tabs>
                <w:tab w:val="clear" w:pos="708"/>
                <w:tab w:val="left" w:pos="318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активизировать работу по выявлению, обобщению и распространению лучшего опыта семейного воспитания.</w:t>
            </w:r>
          </w:p>
        </w:tc>
      </w:tr>
      <w:tr>
        <w:trPr/>
        <w:tc>
          <w:tcPr>
            <w:tcW w:w="2360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Безопасность учебного оборудования и инвентаря</w:t>
            </w:r>
          </w:p>
        </w:tc>
        <w:tc>
          <w:tcPr>
            <w:tcW w:w="11917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Обновить оборудование для игровой деятельности и занятий физкультурой в музыкально-физкультурном зале, на прогулочных участках, спортивной площадке на соответствующее современным требованиям сертифицированное оборудование заводского производства.</w:t>
            </w:r>
          </w:p>
        </w:tc>
      </w:tr>
    </w:tbl>
    <w:p>
      <w:pPr>
        <w:pStyle w:val="ListParagraph"/>
        <w:spacing w:lineRule="auto" w:line="240" w:before="0" w:after="0"/>
        <w:ind w:left="644"/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</w:r>
    </w:p>
    <w:p>
      <w:pPr>
        <w:pStyle w:val="ListParagraph"/>
        <w:spacing w:lineRule="auto" w:line="240" w:before="0" w:after="0"/>
        <w:ind w:left="644"/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</w:r>
    </w:p>
    <w:p>
      <w:pPr>
        <w:pStyle w:val="ListParagraph"/>
        <w:spacing w:lineRule="auto" w:line="240" w:before="0" w:after="0"/>
        <w:ind w:left="644"/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4. УСЛОВИЯ РЕАЛИЗАЦИИ ПРОГРАММЫ ДОУ В СООТВЕТСТВИИ С ФГОС ДО и ФОП ДО</w:t>
      </w:r>
    </w:p>
    <w:p>
      <w:pPr>
        <w:pStyle w:val="ListParagraph"/>
        <w:spacing w:lineRule="auto" w:line="240" w:before="0" w:after="0"/>
        <w:ind w:left="644"/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</w:r>
    </w:p>
    <w:p>
      <w:pPr>
        <w:pStyle w:val="Normal"/>
        <w:spacing w:lineRule="auto" w:line="240" w:before="0" w:after="0"/>
        <w:ind w:lef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№ 5</w:t>
      </w:r>
    </w:p>
    <w:tbl>
      <w:tblPr>
        <w:tblStyle w:val="a3"/>
        <w:tblW w:w="14601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44"/>
        <w:gridCol w:w="2694"/>
        <w:gridCol w:w="2551"/>
        <w:gridCol w:w="2269"/>
        <w:gridCol w:w="1843"/>
      </w:tblGrid>
      <w:tr>
        <w:trPr/>
        <w:tc>
          <w:tcPr>
            <w:tcW w:w="5244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Параметры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4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107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(неудовлетворительно)</w:t>
            </w:r>
          </w:p>
        </w:tc>
        <w:tc>
          <w:tcPr>
            <w:tcW w:w="2551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(удовлетворительно)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(хорошо)</w:t>
            </w:r>
          </w:p>
        </w:tc>
        <w:tc>
          <w:tcPr>
            <w:tcW w:w="1843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(отлично)</w:t>
            </w:r>
          </w:p>
        </w:tc>
      </w:tr>
      <w:tr>
        <w:trPr/>
        <w:tc>
          <w:tcPr>
            <w:tcW w:w="5244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 лицензии</w:t>
            </w:r>
          </w:p>
        </w:tc>
        <w:tc>
          <w:tcPr>
            <w:tcW w:w="269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Выдана бессрочная лицензия; замечаний при прохождении лицензирования нет.</w:t>
            </w:r>
          </w:p>
        </w:tc>
      </w:tr>
      <w:tr>
        <w:trPr/>
        <w:tc>
          <w:tcPr>
            <w:tcW w:w="5244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Требования к средствам обучения и воспитания в соответствии с возрастом и индивидуальными особенностями развития детей</w:t>
            </w:r>
          </w:p>
        </w:tc>
        <w:tc>
          <w:tcPr>
            <w:tcW w:w="269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Соответствие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75%</w:t>
            </w:r>
          </w:p>
        </w:tc>
        <w:tc>
          <w:tcPr>
            <w:tcW w:w="1843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44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Оснащенность развивающей предметно-пространственной среды помещений в соответствии с ОП ДО</w:t>
            </w:r>
          </w:p>
        </w:tc>
        <w:tc>
          <w:tcPr>
            <w:tcW w:w="269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Соответствие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80%</w:t>
            </w:r>
          </w:p>
        </w:tc>
        <w:tc>
          <w:tcPr>
            <w:tcW w:w="1843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44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Насколько психолого-педагогические условия реализации ОП ДО обеспечивают полноценное развитие детей во всех основных образовательных областях</w:t>
            </w:r>
          </w:p>
        </w:tc>
        <w:tc>
          <w:tcPr>
            <w:tcW w:w="269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Соответствие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80%</w:t>
            </w:r>
          </w:p>
        </w:tc>
        <w:tc>
          <w:tcPr>
            <w:tcW w:w="1843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44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Насколько кадровые условия реализации ОП ДО обеспечивают полноценное развитие детей во всех основных образовательных областях</w:t>
            </w:r>
          </w:p>
        </w:tc>
        <w:tc>
          <w:tcPr>
            <w:tcW w:w="269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Соответствие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100%</w:t>
            </w:r>
          </w:p>
        </w:tc>
      </w:tr>
      <w:tr>
        <w:trPr/>
        <w:tc>
          <w:tcPr>
            <w:tcW w:w="5244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Насколько материально-технические условия реализации ОП ДО (учебно-методический комплект, оборудование, оснащение) обеспечивают полноценное развитие детей во всех основных образовательных областях</w:t>
            </w:r>
          </w:p>
        </w:tc>
        <w:tc>
          <w:tcPr>
            <w:tcW w:w="269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75%</w:t>
            </w:r>
          </w:p>
        </w:tc>
        <w:tc>
          <w:tcPr>
            <w:tcW w:w="1843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44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Насколько финансовые условия реализации ОП ДО обеспечивают полноценное развитие детей во всех основных образовательных областях</w:t>
            </w:r>
          </w:p>
        </w:tc>
        <w:tc>
          <w:tcPr>
            <w:tcW w:w="269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1 балл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70%</w:t>
            </w:r>
          </w:p>
        </w:tc>
        <w:tc>
          <w:tcPr>
            <w:tcW w:w="2269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44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Средний балл: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9357" w:type="dxa"/>
            <w:gridSpan w:val="4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i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2,1 балла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i/>
          <w:i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i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  <w:t>Лучшие аспекты и их влияние на результаты ДОУ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i/>
          <w:color w:val="C00000"/>
          <w:sz w:val="16"/>
          <w:szCs w:val="16"/>
        </w:rPr>
      </w:r>
    </w:p>
    <w:tbl>
      <w:tblPr>
        <w:tblStyle w:val="a3"/>
        <w:tblW w:w="14601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28"/>
        <w:gridCol w:w="7372"/>
      </w:tblGrid>
      <w:tr>
        <w:trPr/>
        <w:tc>
          <w:tcPr>
            <w:tcW w:w="7228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Лучшие аспекты обеспечения</w:t>
            </w:r>
          </w:p>
        </w:tc>
        <w:tc>
          <w:tcPr>
            <w:tcW w:w="7372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Как это повлияло на результаты деятельности?</w:t>
            </w:r>
          </w:p>
        </w:tc>
      </w:tr>
      <w:tr>
        <w:trPr/>
        <w:tc>
          <w:tcPr>
            <w:tcW w:w="7228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Сделан косметический ремонт отдельных помещений.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 территории ДОУ оборудованы и благоустроены все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прогулочные участки.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 всех возрастных группах пополнена и обновлена развивающая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предметно-пространственная среда по всем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направлениям (образовательным областям).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Подключен Интернет с функцией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Wi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Fi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Детский сад ведет государственные паблики – официальные сообщества, где пользователи получают актуальную достоверную информацию о работе органов власти, деятельности ДОО, ежедневно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воспользоваться виджетами «Сообщить о проблеме» или «Высказать мнение».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Положительный микроклимат в коллективе.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Разработана система стимулирования качественной работы.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Творческая направленность деятельности коллектива ДОУ и его руководителя.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Система повышения профессионального роста педагогов через разные формы методической работы.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72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Улучшен эстетический вид помещений ДОУ и прилегающей территории.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Повысилось качество оказания образовательных услуг в ДОУ.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Улучшилась информационная открытость ДОУ.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  <w:t>Аспекты, нуждающиеся в улучшении и почему?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i/>
          <w:color w:val="C00000"/>
          <w:sz w:val="16"/>
          <w:szCs w:val="16"/>
        </w:rPr>
      </w:r>
    </w:p>
    <w:tbl>
      <w:tblPr>
        <w:tblStyle w:val="a3"/>
        <w:tblW w:w="144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02"/>
        <w:gridCol w:w="7655"/>
      </w:tblGrid>
      <w:tr>
        <w:trPr/>
        <w:tc>
          <w:tcPr>
            <w:tcW w:w="6802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Сферы улучшения</w:t>
            </w:r>
          </w:p>
        </w:tc>
        <w:tc>
          <w:tcPr>
            <w:tcW w:w="7655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Какие действия для этого необходимо предпринять?</w:t>
            </w:r>
          </w:p>
        </w:tc>
      </w:tr>
      <w:tr>
        <w:trPr/>
        <w:tc>
          <w:tcPr>
            <w:tcW w:w="680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Ремонт фасада ДОУ.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Установка системы видеонаблюдения по всему периметру и внутри здания ДОУ.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Ремонт отдельных помещений ДОУ с заменой дверных блоков.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Приобретение сертифицированного оборудования на прогулочные участки и в музыкально-физкультурный зал.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Замена детской мебели (столы, стулья, шкафчики для одежды и т.д.).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Приобретение обучающих и развивающих наглядных пособий, методической литературы в соответствии с ФГОС ДО и ФОП ДО.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655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Ходатайствовать в отдел образования о выделении дополнительных денежных средств на проведение необходимых ремонтных работ, а также работ по укреплению антитеррористической защищенности ДОУ.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 составлении плана финансово-хозяйственной деятельности учитывать потребности и планы развития ДОУ.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Провести анализ потребностей педагогов в обучающих и развивающих наглядных пособиях для осуществления образовательной деятельности.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ПРОФЕССИОНАЛЬНЫЙ УРОВЕНЬ ПЕДАГОГОВ ДОУ</w:t>
      </w:r>
    </w:p>
    <w:p>
      <w:pPr>
        <w:pStyle w:val="ListParagraph"/>
        <w:spacing w:lineRule="auto" w:line="240" w:before="0" w:after="0"/>
        <w:ind w:left="1004"/>
        <w:contextualSpacing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Одним из условий эффективности работы ДОУ является непрерывное повышение педагогами своего профессионального уровня и педагогического мастерства. Воспитатели и специалисты ДОУ регулярно проходят курсы повышения квалификации по профилю осуществляемой ими образовательной деятельности, аттестацию с целью повышения и подтверждения квалификационных категорий, участвуют в работе методических объединений, семинаров педагогических работников ДОУ на муниципальном уровне, а также принимают участие в конкурсах муниципального, регионального и федерального уровня. Кроме этого свой профессиональный уровень педагоги ДОУ повышают через самообразование. Следует отметить </w:t>
      </w:r>
      <w:r>
        <w:rPr>
          <w:rFonts w:eastAsia="Calibri" w:cs="Times New Roman" w:ascii="Times New Roman" w:hAnsi="Times New Roman"/>
          <w:sz w:val="28"/>
          <w:szCs w:val="28"/>
        </w:rPr>
        <w:t>активность воспитателей, их стремление к изучению новых тенденций в области дошкольной педагогики, к приобретению новых знаний и применению их на практике.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6</w:t>
      </w:r>
    </w:p>
    <w:tbl>
      <w:tblPr>
        <w:tblStyle w:val="a3"/>
        <w:tblW w:w="14175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42"/>
        <w:gridCol w:w="2695"/>
        <w:gridCol w:w="2408"/>
        <w:gridCol w:w="2128"/>
        <w:gridCol w:w="3402"/>
      </w:tblGrid>
      <w:tr>
        <w:trPr/>
        <w:tc>
          <w:tcPr>
            <w:tcW w:w="3542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Параметры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5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186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(неудовлетворительно)</w:t>
            </w:r>
          </w:p>
        </w:tc>
        <w:tc>
          <w:tcPr>
            <w:tcW w:w="2408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103" w:right="-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(удовлетворительно)</w:t>
            </w:r>
          </w:p>
        </w:tc>
        <w:tc>
          <w:tcPr>
            <w:tcW w:w="2128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(хорошо)</w:t>
            </w:r>
          </w:p>
        </w:tc>
        <w:tc>
          <w:tcPr>
            <w:tcW w:w="3402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(отлично)</w:t>
            </w:r>
          </w:p>
        </w:tc>
      </w:tr>
      <w:tr>
        <w:trPr>
          <w:trHeight w:val="415" w:hRule="atLeast"/>
        </w:trPr>
        <w:tc>
          <w:tcPr>
            <w:tcW w:w="354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Укомплектованность ДОО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педагогическими кадрами</w:t>
            </w:r>
          </w:p>
        </w:tc>
        <w:tc>
          <w:tcPr>
            <w:tcW w:w="2695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8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1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Дошкольное образовательное учреждение укомплектовано педагогическими кадрами в соответствии со штатным расписанием 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100%.</w:t>
            </w:r>
          </w:p>
        </w:tc>
      </w:tr>
      <w:tr>
        <w:trPr/>
        <w:tc>
          <w:tcPr>
            <w:tcW w:w="354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Доля педагогических работников, имеющих высшее педагогическое образование</w:t>
            </w:r>
          </w:p>
        </w:tc>
        <w:tc>
          <w:tcPr>
            <w:tcW w:w="2695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1 балл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14%</w:t>
            </w:r>
          </w:p>
        </w:tc>
        <w:tc>
          <w:tcPr>
            <w:tcW w:w="2128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4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Доля педагогических работников, имеющих первую и высшую квалификационные категории</w:t>
            </w:r>
          </w:p>
        </w:tc>
        <w:tc>
          <w:tcPr>
            <w:tcW w:w="2695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8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i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75%</w:t>
            </w:r>
          </w:p>
        </w:tc>
      </w:tr>
      <w:tr>
        <w:trPr>
          <w:trHeight w:val="692" w:hRule="atLeast"/>
        </w:trPr>
        <w:tc>
          <w:tcPr>
            <w:tcW w:w="354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Участие педагогов в конкурсах/грантах: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муниципальный уровень,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региональный уровень,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федеральный уровень,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международный уровень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5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W w:w="2128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i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Приняли участие и заняли призовые места в следующих конкурсах: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 региональный конкурс </w:t>
            </w: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«Светлый праздник»;</w:t>
            </w:r>
          </w:p>
          <w:p>
            <w:pPr>
              <w:pStyle w:val="Normal"/>
              <w:widowControl/>
              <w:shd w:val="clear" w:color="auto" w:fill="DAEEF3" w:themeFill="accent5" w:themeFillTint="33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 </w:t>
            </w:r>
            <w:r>
              <w:rPr>
                <w:rStyle w:val="Emphasis"/>
                <w:rFonts w:eastAsia="Calibri" w:cs="Times New Roman" w:ascii="Times New Roman" w:hAnsi="Times New Roman"/>
                <w:bCs/>
                <w:i w:val="false"/>
                <w:color w:val="000000"/>
                <w:kern w:val="0"/>
                <w:sz w:val="24"/>
                <w:szCs w:val="24"/>
                <w:shd w:fill="DAEEF3" w:val="clear"/>
                <w:lang w:val="ru-RU" w:eastAsia="en-US" w:bidi="ar-SA"/>
              </w:rPr>
              <w:t>муниципальный конкурс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Style w:val="Emphasis"/>
                <w:rFonts w:eastAsia="Calibri" w:cs="Times New Roman" w:ascii="Times New Roman" w:hAnsi="Times New Roman"/>
                <w:bCs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«Семейная реликвия»;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Style w:val="Emphasis"/>
                <w:rFonts w:eastAsia="Calibri" w:cs="Times New Roman" w:ascii="Times New Roman" w:hAnsi="Times New Roman"/>
                <w:bCs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 муниципальный конкурс «Именины у рябины»</w:t>
            </w:r>
          </w:p>
          <w:p>
            <w:pPr>
              <w:pStyle w:val="Normal"/>
              <w:widowControl/>
              <w:shd w:val="clear" w:color="auto" w:fill="DAEEF3" w:themeFill="accent5" w:themeFillTint="33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mphasis"/>
                <w:rFonts w:eastAsia="Calibri" w:cs="Times New Roman" w:ascii="Times New Roman" w:hAnsi="Times New Roman"/>
                <w:bCs/>
                <w:i w:val="false"/>
                <w:color w:val="000000"/>
                <w:kern w:val="0"/>
                <w:sz w:val="24"/>
                <w:szCs w:val="24"/>
                <w:shd w:fill="DAEEF3" w:val="clear"/>
                <w:lang w:val="ru-RU" w:eastAsia="en-US" w:bidi="ar-SA"/>
              </w:rPr>
              <w:t>- муниципальный конкурс</w:t>
            </w:r>
          </w:p>
          <w:p>
            <w:pPr>
              <w:pStyle w:val="Normal"/>
              <w:widowControl/>
              <w:shd w:val="clear" w:color="auto" w:fill="DAEEF3" w:themeFill="accent5" w:themeFillTint="33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mphasis"/>
                <w:rFonts w:eastAsia="Calibri" w:cs="Times New Roman" w:ascii="Times New Roman" w:hAnsi="Times New Roman"/>
                <w:bCs/>
                <w:i w:val="false"/>
                <w:color w:val="000000"/>
                <w:kern w:val="0"/>
                <w:sz w:val="24"/>
                <w:szCs w:val="24"/>
                <w:shd w:fill="DAEEF3" w:val="clear"/>
                <w:lang w:val="ru-RU" w:eastAsia="en-US" w:bidi="ar-SA"/>
              </w:rPr>
              <w:t>«</w:t>
            </w:r>
            <w:r>
              <w:rPr>
                <w:rStyle w:val="Emphasis"/>
                <w:rFonts w:eastAsia="Calibri" w:cs="Times New Roman" w:ascii="Times New Roman" w:hAnsi="Times New Roman"/>
                <w:bCs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Город в котором мы живём</w:t>
            </w:r>
            <w:r>
              <w:rPr>
                <w:rStyle w:val="Emphasis"/>
                <w:rFonts w:eastAsia="Calibri" w:cs="Times New Roman" w:ascii="Times New Roman" w:hAnsi="Times New Roman"/>
                <w:bCs/>
                <w:i w:val="false"/>
                <w:color w:val="000000"/>
                <w:kern w:val="0"/>
                <w:sz w:val="24"/>
                <w:szCs w:val="24"/>
                <w:shd w:fill="DAEEF3" w:val="clear"/>
                <w:lang w:val="ru-RU" w:eastAsia="en-US" w:bidi="ar-SA"/>
              </w:rPr>
              <w:t>»;</w:t>
            </w:r>
          </w:p>
          <w:p>
            <w:pPr>
              <w:pStyle w:val="Normal"/>
              <w:widowControl/>
              <w:shd w:val="clear" w:color="auto" w:fill="DAEEF3" w:themeFill="accent5" w:themeFillTint="33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mphasis"/>
                <w:rFonts w:eastAsia="Calibri" w:cs="Times New Roman" w:ascii="Times New Roman" w:hAnsi="Times New Roman"/>
                <w:bCs/>
                <w:i w:val="false"/>
                <w:color w:val="000000"/>
                <w:kern w:val="0"/>
                <w:sz w:val="24"/>
                <w:szCs w:val="24"/>
                <w:shd w:fill="DAEEF3" w:val="clear"/>
                <w:lang w:val="ru-RU" w:eastAsia="en-US" w:bidi="ar-SA"/>
              </w:rPr>
              <w:t xml:space="preserve">- муниципальный конкурс </w:t>
            </w:r>
            <w:r>
              <w:rPr>
                <w:rStyle w:val="Emphasis"/>
                <w:rFonts w:eastAsia="Calibri" w:cs="Times New Roman" w:ascii="Times New Roman" w:hAnsi="Times New Roman" w:eastAsiaTheme="minorHAnsi"/>
                <w:bCs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«Новогодний калейдоскоп»</w:t>
            </w:r>
          </w:p>
          <w:p>
            <w:pPr>
              <w:pStyle w:val="Normal"/>
              <w:widowControl/>
              <w:shd w:val="clear" w:color="auto" w:fill="DAEEF3" w:themeFill="accent5" w:themeFillTint="33"/>
              <w:suppressAutoHyphens w:val="true"/>
              <w:spacing w:lineRule="auto" w:line="240" w:before="0" w:after="0"/>
              <w:jc w:val="left"/>
              <w:rPr>
                <w:rStyle w:val="Emphasis"/>
                <w:rFonts w:ascii="Times New Roman" w:hAnsi="Times New Roman" w:cs="Times New Roman"/>
                <w:bCs/>
                <w:i w:val="false"/>
                <w:i w:val="false"/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Emphasis"/>
                <w:rFonts w:eastAsia="Calibri" w:cs="Times New Roman" w:ascii="Times New Roman" w:hAnsi="Times New Roman"/>
                <w:bCs/>
                <w:i w:val="false"/>
                <w:color w:val="000000"/>
                <w:kern w:val="0"/>
                <w:sz w:val="24"/>
                <w:szCs w:val="24"/>
                <w:shd w:fill="DAEEF3" w:val="clear"/>
                <w:lang w:val="ru-RU" w:eastAsia="en-US" w:bidi="ar-SA"/>
              </w:rPr>
              <w:t>- муниципальный конкурс «Рождественский подарок»;</w:t>
            </w:r>
          </w:p>
          <w:p>
            <w:pPr>
              <w:pStyle w:val="Normal"/>
              <w:widowControl/>
              <w:shd w:val="clear" w:color="auto" w:fill="DAEEF3" w:themeFill="accent5" w:themeFillTint="33"/>
              <w:suppressAutoHyphens w:val="true"/>
              <w:spacing w:lineRule="auto" w:line="240" w:before="0" w:after="0"/>
              <w:jc w:val="left"/>
              <w:rPr>
                <w:rStyle w:val="Emphasis"/>
                <w:rFonts w:ascii="Times New Roman" w:hAnsi="Times New Roman" w:cs="Times New Roman"/>
                <w:bCs/>
                <w:i w:val="false"/>
                <w:i w:val="false"/>
                <w:color w:val="000000"/>
                <w:sz w:val="24"/>
                <w:szCs w:val="24"/>
                <w:shd w:fill="DAEEF3" w:val="clear"/>
              </w:rPr>
            </w:pPr>
            <w:r>
              <w:rPr>
                <w:rStyle w:val="Emphasis"/>
                <w:rFonts w:eastAsia="Calibri" w:cs="Times New Roman" w:ascii="Times New Roman" w:hAnsi="Times New Roman"/>
                <w:bCs/>
                <w:i w:val="false"/>
                <w:color w:val="000000"/>
                <w:kern w:val="0"/>
                <w:sz w:val="24"/>
                <w:szCs w:val="24"/>
                <w:shd w:fill="DAEEF3" w:val="clear"/>
                <w:lang w:val="ru-RU" w:eastAsia="en-US" w:bidi="ar-SA"/>
              </w:rPr>
              <w:t>- муниципальный этап всероссийского конкурса экологических рисунков;</w:t>
            </w:r>
          </w:p>
          <w:p>
            <w:pPr>
              <w:pStyle w:val="Normal"/>
              <w:widowControl/>
              <w:shd w:val="clear" w:color="auto" w:fill="DAEEF3" w:themeFill="accent5" w:themeFillTint="33"/>
              <w:suppressAutoHyphens w:val="true"/>
              <w:spacing w:lineRule="auto" w:line="240" w:before="0" w:after="0"/>
              <w:jc w:val="left"/>
              <w:rPr>
                <w:rStyle w:val="Emphasis"/>
                <w:rFonts w:ascii="Times New Roman" w:hAnsi="Times New Roman" w:cs="Times New Roman"/>
                <w:bCs/>
                <w:i w:val="false"/>
                <w:i w:val="false"/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Emphasis"/>
                <w:rFonts w:eastAsia="Calibri" w:cs="Times New Roman" w:ascii="Times New Roman" w:hAnsi="Times New Roman"/>
                <w:bCs/>
                <w:i w:val="false"/>
                <w:color w:val="000000"/>
                <w:kern w:val="0"/>
                <w:sz w:val="24"/>
                <w:szCs w:val="24"/>
                <w:shd w:fill="DAEEF3" w:val="clear"/>
                <w:lang w:val="ru-RU" w:eastAsia="en-US" w:bidi="ar-SA"/>
              </w:rPr>
              <w:t>- муниципальный конкурс «Путь в профессию»;</w:t>
            </w:r>
          </w:p>
          <w:p>
            <w:pPr>
              <w:pStyle w:val="Normal"/>
              <w:widowControl/>
              <w:shd w:val="clear" w:color="auto" w:fill="DAEEF3" w:themeFill="accent5" w:themeFillTint="33"/>
              <w:suppressAutoHyphens w:val="true"/>
              <w:spacing w:lineRule="auto" w:line="240" w:before="0" w:after="0"/>
              <w:jc w:val="left"/>
              <w:rPr>
                <w:rStyle w:val="Emphasis"/>
                <w:rFonts w:ascii="Times New Roman" w:hAnsi="Times New Roman" w:cs="Times New Roman"/>
                <w:bCs/>
                <w:i w:val="false"/>
                <w:i w:val="false"/>
                <w:color w:val="000000"/>
                <w:sz w:val="24"/>
                <w:szCs w:val="24"/>
                <w:shd w:fill="DAEEF3" w:val="clear"/>
              </w:rPr>
            </w:pPr>
            <w:r>
              <w:rPr>
                <w:rStyle w:val="Emphasis"/>
                <w:rFonts w:eastAsia="Calibri" w:cs="Times New Roman" w:ascii="Times New Roman" w:hAnsi="Times New Roman"/>
                <w:bCs/>
                <w:i w:val="false"/>
                <w:color w:val="000000"/>
                <w:kern w:val="0"/>
                <w:sz w:val="24"/>
                <w:szCs w:val="24"/>
                <w:shd w:fill="DAEEF3" w:val="clear"/>
                <w:lang w:val="ru-RU" w:eastAsia="en-US" w:bidi="ar-SA"/>
              </w:rPr>
              <w:t>- муниципальный конкурс «Охрана труда»;</w:t>
            </w:r>
          </w:p>
          <w:p>
            <w:pPr>
              <w:pStyle w:val="Normal"/>
              <w:widowControl/>
              <w:shd w:val="clear" w:color="auto" w:fill="DAEEF3" w:themeFill="accent5" w:themeFillTint="33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fill="FFFFFF" w:val="clear"/>
              </w:rPr>
            </w:pPr>
            <w:r>
              <w:rPr>
                <w:rStyle w:val="Emphasis"/>
                <w:rFonts w:eastAsia="Calibri" w:cs="Times New Roman" w:ascii="Times New Roman" w:hAnsi="Times New Roman"/>
                <w:bCs/>
                <w:i w:val="false"/>
                <w:color w:val="000000"/>
                <w:kern w:val="0"/>
                <w:sz w:val="24"/>
                <w:szCs w:val="24"/>
                <w:shd w:fill="DAEEF3" w:val="clear"/>
                <w:lang w:val="ru-RU" w:eastAsia="en-US" w:bidi="ar-SA"/>
              </w:rPr>
              <w:t>- и др.</w:t>
            </w:r>
          </w:p>
        </w:tc>
      </w:tr>
      <w:tr>
        <w:trPr/>
        <w:tc>
          <w:tcPr>
            <w:tcW w:w="354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Публикация опыта работы педагогов ДОО: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муниципальный уровень,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региональный уровень,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федеральный уровень,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международный уровень</w:t>
            </w:r>
          </w:p>
        </w:tc>
        <w:tc>
          <w:tcPr>
            <w:tcW w:w="2695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0 баллов</w:t>
            </w:r>
          </w:p>
        </w:tc>
        <w:tc>
          <w:tcPr>
            <w:tcW w:w="2408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i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8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4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Доля педагогических работников и управленческих кадров, прошедших за последние три года повышение квалификации/переподготовку по профилю осуществляемой ими образовательной деятельности</w:t>
            </w:r>
          </w:p>
        </w:tc>
        <w:tc>
          <w:tcPr>
            <w:tcW w:w="2695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8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8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i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 последние три года весь (100%) педагогический и административно-хозяйственный персонал прошли повышение квалификации/переподготовку по профилю осуществляемой ими образовательной деятельности</w:t>
            </w:r>
          </w:p>
        </w:tc>
      </w:tr>
      <w:tr>
        <w:trPr/>
        <w:tc>
          <w:tcPr>
            <w:tcW w:w="3542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Средний балл:</w:t>
            </w:r>
          </w:p>
        </w:tc>
        <w:tc>
          <w:tcPr>
            <w:tcW w:w="10633" w:type="dxa"/>
            <w:gridSpan w:val="4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Normal"/>
              <w:widowControl/>
              <w:shd w:val="clear" w:color="auto" w:fill="C2D69B" w:themeFill="accent3" w:themeFillTint="99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6,5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  <w:highlight w:val="yellow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</w:t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  <w:t>Наиболее сильные аспекты</w:t>
      </w:r>
    </w:p>
    <w:tbl>
      <w:tblPr>
        <w:tblStyle w:val="a3"/>
        <w:tblW w:w="14445" w:type="dxa"/>
        <w:jc w:val="left"/>
        <w:tblInd w:w="-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99"/>
        <w:gridCol w:w="6945"/>
      </w:tblGrid>
      <w:tr>
        <w:trPr/>
        <w:tc>
          <w:tcPr>
            <w:tcW w:w="7499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Наиболее сильные стороны педагогов ДОО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6945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Какие факторы в ДОО повлияли на формирование этих сильных сторон?</w:t>
            </w:r>
          </w:p>
        </w:tc>
      </w:tr>
      <w:tr>
        <w:trPr/>
        <w:tc>
          <w:tcPr>
            <w:tcW w:w="7499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успешно реализуются все задачи Годового плана;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 высокое качество предоставляемых в ДОУ образовательных услуг, что подтверждается результатами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мониторинга усвоения воспитанниками ОП ДО МБДОУ д/с № 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- 1</w:t>
            </w:r>
            <w:r>
              <w:rPr>
                <w:rStyle w:val="Emphasis"/>
                <w:rFonts w:eastAsia="Calibri" w:cs="Times New Roman" w:ascii="Times New Roman" w:hAnsi="Times New Roman"/>
                <w:bCs/>
                <w:i w:val="false"/>
                <w:color w:val="000000"/>
                <w:kern w:val="0"/>
                <w:sz w:val="24"/>
                <w:szCs w:val="24"/>
                <w:shd w:fill="F2DBDB" w:val="clear"/>
                <w:lang w:val="ru-RU" w:eastAsia="en-US" w:bidi="ar-SA"/>
              </w:rPr>
              <w:t>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% педагогов используют в работе с детьми личностно-ориентированную модель взаимодействия;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- 71 % проявляют активный интерес к инновациям и участвуют в разнообразной инновационной деятельности.</w:t>
            </w:r>
          </w:p>
        </w:tc>
        <w:tc>
          <w:tcPr>
            <w:tcW w:w="6945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оказание грамотной методической помощи воспитателям в поисках эффективных методов и форм организации образовательного процесса с обучающимися;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использование интерактивных форм работы с педагогами;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создание условий для повышения профессионального уровня педагогов,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для их творческой самореализации;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организация образовательного процесса с использованием ИКТ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 использование эффективных форм взаимодействия с семьями обучающихся.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  <w:t>Аспекты, нуждающиеся в улучшении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i/>
          <w:color w:val="C00000"/>
          <w:sz w:val="16"/>
          <w:szCs w:val="16"/>
        </w:rPr>
      </w:r>
    </w:p>
    <w:tbl>
      <w:tblPr>
        <w:tblStyle w:val="a3"/>
        <w:tblW w:w="14625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50"/>
        <w:gridCol w:w="6974"/>
      </w:tblGrid>
      <w:tr>
        <w:trPr/>
        <w:tc>
          <w:tcPr>
            <w:tcW w:w="7650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Аспекты улучшения профессионального уровня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педагогов ДОО</w:t>
            </w:r>
          </w:p>
        </w:tc>
        <w:tc>
          <w:tcPr>
            <w:tcW w:w="6974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Какие действия для этого необходимо предпринять?</w:t>
            </w:r>
          </w:p>
        </w:tc>
      </w:tr>
      <w:tr>
        <w:trPr/>
        <w:tc>
          <w:tcPr>
            <w:tcW w:w="7650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hd w:val="clear" w:color="auto" w:fill="F2DBDB" w:themeFill="accent2" w:themeFillTint="33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hd w:val="clear" w:color="auto" w:fill="F2DBDB" w:themeFill="accent2" w:themeFillTint="33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Недостаточно высокий уровень сформированности способности педагогов к анализу и самоанализу педагогической деятельности;</w:t>
            </w:r>
          </w:p>
          <w:p>
            <w:pPr>
              <w:pStyle w:val="Normal"/>
              <w:widowControl/>
              <w:shd w:val="clear" w:color="auto" w:fill="F2DBDB" w:themeFill="accent2" w:themeFillTint="33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/>
              <w:shd w:val="clear" w:color="auto" w:fill="F2DBDB" w:themeFill="accent2" w:themeFillTint="33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- </w:t>
            </w:r>
            <w:r>
              <w:rPr>
                <w:rFonts w:eastAsia="Calibri" w:cs="" w:ascii="Times New Roman" w:hAnsi="Times New Roman"/>
                <w:bCs/>
                <w:color w:val="000000"/>
                <w:kern w:val="0"/>
                <w:sz w:val="24"/>
                <w:szCs w:val="24"/>
                <w:shd w:fill="F2DBDB" w:val="clear"/>
                <w:lang w:val="ru-RU" w:eastAsia="en-US" w:bidi="ar-SA"/>
              </w:rPr>
              <w:t>недостаточно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shd w:fill="F2DBDB" w:val="clear"/>
                <w:lang w:val="ru-RU" w:eastAsia="en-US" w:bidi="ar-SA"/>
              </w:rPr>
              <w:t> эффективное </w:t>
            </w:r>
            <w:r>
              <w:rPr>
                <w:rFonts w:eastAsia="Calibri" w:cs="" w:ascii="Times New Roman" w:hAnsi="Times New Roman"/>
                <w:bCs/>
                <w:color w:val="000000"/>
                <w:kern w:val="0"/>
                <w:sz w:val="24"/>
                <w:szCs w:val="24"/>
                <w:shd w:fill="F2DBDB" w:val="clear"/>
                <w:lang w:val="ru-RU" w:eastAsia="en-US" w:bidi="ar-SA"/>
              </w:rPr>
              <w:t>использование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shd w:fill="F2DBDB" w:val="clear"/>
                <w:lang w:val="ru-RU" w:eastAsia="en-US" w:bidi="ar-SA"/>
              </w:rPr>
              <w:t> </w:t>
            </w:r>
            <w:r>
              <w:rPr>
                <w:rFonts w:eastAsia="Calibri" w:cs="" w:ascii="Times New Roman" w:hAnsi="Times New Roman"/>
                <w:bCs/>
                <w:color w:val="000000"/>
                <w:kern w:val="0"/>
                <w:sz w:val="24"/>
                <w:szCs w:val="24"/>
                <w:shd w:fill="F2DBDB" w:val="clear"/>
                <w:lang w:val="ru-RU" w:eastAsia="en-US" w:bidi="ar-SA"/>
              </w:rPr>
              <w:t>проектной деятельности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shd w:fill="F2DBDB" w:val="clear"/>
                <w:lang w:val="ru-RU" w:eastAsia="en-US" w:bidi="ar-SA"/>
              </w:rPr>
              <w:t xml:space="preserve">, как формы построения </w:t>
            </w:r>
            <w:r>
              <w:rPr>
                <w:rFonts w:eastAsia="Calibri" w:cs="" w:ascii="Times New Roman" w:hAnsi="Times New Roman"/>
                <w:bCs/>
                <w:color w:val="000000"/>
                <w:kern w:val="0"/>
                <w:sz w:val="24"/>
                <w:szCs w:val="24"/>
                <w:shd w:fill="F2DBDB" w:val="clear"/>
                <w:lang w:val="ru-RU" w:eastAsia="en-US" w:bidi="ar-SA"/>
              </w:rPr>
              <w:t>образовательного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shd w:fill="F2DBDB" w:val="clear"/>
                <w:lang w:val="ru-RU" w:eastAsia="en-US" w:bidi="ar-SA"/>
              </w:rPr>
              <w:t> </w:t>
            </w:r>
            <w:r>
              <w:rPr>
                <w:rFonts w:eastAsia="Calibri" w:cs="" w:ascii="Times New Roman" w:hAnsi="Times New Roman"/>
                <w:bCs/>
                <w:color w:val="000000"/>
                <w:kern w:val="0"/>
                <w:sz w:val="24"/>
                <w:szCs w:val="24"/>
                <w:shd w:fill="F2DBDB" w:val="clear"/>
                <w:lang w:val="ru-RU" w:eastAsia="en-US" w:bidi="ar-SA"/>
              </w:rPr>
              <w:t>процесса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недостаточно активное участие педагогов в методических мероприятиях и конкурсах профессионального мастерства разного уровня;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часть педагогов не владеют цифровыми технологиями, испытывают технические затруднения в самостоятельном применении цифровых инструментов в образовательном процессе, нередко консервативно относятся к их применению.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97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 Повысить профессиональный уровень педагогов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по вопросам анализа и самоанализа педагогической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через систему методических мероприятий, самообразование;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активизировать работу по реализации различного вида проектов;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мотивировать педагогов на участие в методических мероприятиях и конкурсах профессионального мастерства разного уровня;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запланировать мероприятия по обучению педагогов по дополнительным профессиональным программам (повышение квалификации), направленным на формирование/совершенствование ИКТ-компетенций для последующего обеспечения качества образовательной деятельности с применением дистанционных образовательных технологий.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color w:val="C00000"/>
          <w:sz w:val="26"/>
          <w:szCs w:val="26"/>
        </w:rPr>
      </w:pPr>
      <w:r>
        <w:rPr>
          <w:rFonts w:cs="Times New Roman" w:ascii="Times New Roman" w:hAnsi="Times New Roman"/>
          <w:b/>
          <w:color w:val="C00000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6.   ОТНОШЕНИЕ К ДОУ РОДИТЕЛЕЙ (ЗАКОННЫХ ПРЕДСТАВИТЕЛЕЙ) ОБУЧАЮЩИХСЯ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shd w:val="clear" w:color="auto" w:fill="FFFFFF"/>
        <w:spacing w:lineRule="auto" w:line="240" w:before="0" w:after="0"/>
        <w:ind w:firstLine="675" w:left="34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Основная цель </w:t>
      </w:r>
      <w:r>
        <w:rPr>
          <w:rFonts w:eastAsia="Times New Roman" w:ascii="Times New Roman" w:hAnsi="Times New Roman"/>
          <w:color w:val="000000"/>
          <w:spacing w:val="-3"/>
          <w:sz w:val="28"/>
          <w:szCs w:val="28"/>
          <w:lang w:eastAsia="ru-RU"/>
        </w:rPr>
        <w:t xml:space="preserve">взаимодействия и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сотрудничества детского сада с семьями воспитанников ДОУ – </w:t>
      </w:r>
      <w:r>
        <w:rPr>
          <w:rFonts w:eastAsia="Times New Roman" w:ascii="Times New Roman" w:hAnsi="Times New Roman"/>
          <w:color w:val="000000"/>
          <w:spacing w:val="-1"/>
          <w:sz w:val="28"/>
          <w:szCs w:val="28"/>
          <w:lang w:eastAsia="ru-RU"/>
        </w:rPr>
        <w:t>сделать родителей активными участниками образовательного процесса, оказав им помощь в вопросах воспитания, обучения и развития детей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firstLine="675" w:lef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pacing w:val="-1"/>
          <w:sz w:val="28"/>
          <w:szCs w:val="28"/>
          <w:lang w:eastAsia="ru-RU"/>
        </w:rPr>
        <w:t xml:space="preserve">Для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построения эффективного взаимодействия и </w:t>
      </w:r>
      <w:r>
        <w:rPr>
          <w:rFonts w:cs="Times New Roman" w:ascii="Times New Roman" w:hAnsi="Times New Roman"/>
          <w:sz w:val="28"/>
          <w:szCs w:val="28"/>
        </w:rPr>
        <w:t>сотрудничества детского сада и семьи используются как традиционные (родительские собрания, тематические беседы и консультации, наглядная информация), так и нетрадиционные   (дни   открытых   дверей,  мастер-классы,   семинары-практикумы, выставки совместных творческих работ, деловые игры и др.) формы работы, суть которых – повысить педагогическую компетентность родителей в вопросах воспитания, обучения и развития детей, степень удовлетворенности от выполнения индивидуальных запросов родителей.     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Работа в данном направлении осуществляется</w:t>
      </w: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 основе анализа особенностей каждой семьи, воспитательных возможностей и классификации семей по видам (по количеству детей, по степени благополучия).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  <w:t>По составу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6"/>
          <w:szCs w:val="26"/>
          <w:highlight w:val="yellow"/>
        </w:rPr>
      </w:pPr>
      <w:r>
        <w:rPr>
          <w:rFonts w:cs="Times New Roman" w:ascii="Times New Roman" w:hAnsi="Times New Roman"/>
          <w:b/>
          <w:i/>
          <w:color w:val="C00000"/>
          <w:sz w:val="26"/>
          <w:szCs w:val="26"/>
          <w:highlight w:val="yellow"/>
        </w:rPr>
      </w:r>
    </w:p>
    <w:tbl>
      <w:tblPr>
        <w:tblW w:w="13183" w:type="dxa"/>
        <w:jc w:val="left"/>
        <w:tblInd w:w="8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693"/>
        <w:gridCol w:w="850"/>
        <w:gridCol w:w="2693"/>
        <w:gridCol w:w="852"/>
        <w:gridCol w:w="2692"/>
        <w:gridCol w:w="994"/>
        <w:gridCol w:w="2408"/>
      </w:tblGrid>
      <w:tr>
        <w:trPr>
          <w:trHeight w:val="942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Полная простая. Родители, дети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Полная, сложная. Бабушки, дедушки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Полная  изменённая, один из родителей не является родным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Неполная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340" w:hRule="exac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FF"/>
                <w:sz w:val="24"/>
                <w:szCs w:val="24"/>
              </w:rPr>
              <w:t>80%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highlight w:val="yellow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FF"/>
                <w:sz w:val="24"/>
                <w:szCs w:val="24"/>
              </w:rPr>
              <w:t>12%</w:t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0000FF"/>
                <w:sz w:val="24"/>
                <w:szCs w:val="24"/>
                <w:highlight w:val="yellow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FF"/>
                <w:sz w:val="24"/>
                <w:szCs w:val="24"/>
              </w:rPr>
              <w:t>0%</w:t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0000FF"/>
                <w:sz w:val="24"/>
                <w:szCs w:val="24"/>
                <w:highlight w:val="yellow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FF"/>
                <w:sz w:val="24"/>
                <w:szCs w:val="24"/>
              </w:rPr>
              <w:t>8%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  <w:t>По количеству детей</w:t>
      </w:r>
    </w:p>
    <w:p>
      <w:pPr>
        <w:pStyle w:val="Normal"/>
        <w:spacing w:before="0" w:after="0"/>
        <w:rPr>
          <w:rFonts w:ascii="Times New Roman" w:hAnsi="Times New Roman" w:cs="Times New Roman"/>
          <w:b/>
          <w:color w:val="FF0000"/>
          <w:sz w:val="8"/>
          <w:szCs w:val="8"/>
          <w:highlight w:val="yellow"/>
        </w:rPr>
      </w:pPr>
      <w:r>
        <w:rPr>
          <w:rFonts w:cs="Times New Roman" w:ascii="Times New Roman" w:hAnsi="Times New Roman"/>
          <w:b/>
          <w:color w:val="FF0000"/>
          <w:sz w:val="8"/>
          <w:szCs w:val="8"/>
          <w:highlight w:val="yellow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color w:val="0000FF"/>
          <w:sz w:val="8"/>
          <w:szCs w:val="8"/>
          <w:highlight w:val="yellow"/>
        </w:rPr>
      </w:pPr>
      <w:r>
        <w:rPr>
          <w:rFonts w:cs="Times New Roman" w:ascii="Times New Roman" w:hAnsi="Times New Roman"/>
          <w:b/>
          <w:color w:val="0000FF"/>
          <w:sz w:val="8"/>
          <w:szCs w:val="8"/>
          <w:highlight w:val="yellow"/>
        </w:rPr>
      </w:r>
    </w:p>
    <w:tbl>
      <w:tblPr>
        <w:tblpPr w:vertAnchor="text" w:horzAnchor="margin" w:tblpXSpec="center" w:leftFromText="180" w:rightFromText="180" w:tblpY="-18"/>
        <w:tblW w:w="1314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651"/>
        <w:gridCol w:w="1135"/>
        <w:gridCol w:w="3968"/>
        <w:gridCol w:w="1135"/>
        <w:gridCol w:w="3260"/>
      </w:tblGrid>
      <w:tr>
        <w:trPr>
          <w:trHeight w:val="360" w:hRule="atLeast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 одним ребёнком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highlight w:val="yellow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 двумя детьми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highlight w:val="yellow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 тремя детьми и больше</w:t>
            </w:r>
          </w:p>
        </w:tc>
      </w:tr>
      <w:tr>
        <w:trPr>
          <w:trHeight w:val="270" w:hRule="atLeast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FF"/>
                <w:sz w:val="24"/>
                <w:szCs w:val="24"/>
              </w:rPr>
              <w:t>26%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0000FF"/>
                <w:sz w:val="24"/>
                <w:szCs w:val="24"/>
                <w:highlight w:val="yellow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FF"/>
                <w:sz w:val="24"/>
                <w:szCs w:val="24"/>
              </w:rPr>
              <w:t>58%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0000FF"/>
                <w:sz w:val="24"/>
                <w:szCs w:val="24"/>
                <w:highlight w:val="yellow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FF"/>
                <w:sz w:val="24"/>
                <w:szCs w:val="24"/>
              </w:rPr>
              <w:t>16%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color w:val="FF0000"/>
          <w:sz w:val="26"/>
          <w:szCs w:val="26"/>
          <w:highlight w:val="yellow"/>
        </w:rPr>
      </w:pPr>
      <w:r>
        <w:rPr>
          <w:rFonts w:cs="Times New Roman" w:ascii="Times New Roman" w:hAnsi="Times New Roman"/>
          <w:b/>
          <w:color w:val="FF0000"/>
          <w:sz w:val="26"/>
          <w:szCs w:val="26"/>
          <w:highlight w:val="yellow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6"/>
          <w:szCs w:val="26"/>
          <w:highlight w:val="yellow"/>
        </w:rPr>
      </w:pPr>
      <w:r>
        <w:rPr>
          <w:rFonts w:cs="Times New Roman" w:ascii="Times New Roman" w:hAnsi="Times New Roman"/>
          <w:b/>
          <w:i/>
          <w:color w:val="C00000"/>
          <w:sz w:val="26"/>
          <w:szCs w:val="26"/>
          <w:highlight w:val="yellow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i/>
          <w:i/>
          <w:color w:val="C00000"/>
          <w:sz w:val="16"/>
          <w:szCs w:val="16"/>
          <w:highlight w:val="yellow"/>
        </w:rPr>
      </w:pPr>
      <w:r>
        <w:rPr>
          <w:rFonts w:cs="Times New Roman" w:ascii="Times New Roman" w:hAnsi="Times New Roman"/>
          <w:b/>
          <w:i/>
          <w:color w:val="C00000"/>
          <w:sz w:val="16"/>
          <w:szCs w:val="16"/>
          <w:highlight w:val="yellow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  <w:highlight w:val="yellow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  <w:t>По материальной обеспеченности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8"/>
          <w:szCs w:val="8"/>
          <w:highlight w:val="yellow"/>
        </w:rPr>
      </w:pPr>
      <w:r>
        <w:rPr>
          <w:rFonts w:cs="Times New Roman" w:ascii="Times New Roman" w:hAnsi="Times New Roman"/>
          <w:b/>
          <w:i/>
          <w:color w:val="C00000"/>
          <w:sz w:val="8"/>
          <w:szCs w:val="8"/>
          <w:highlight w:val="yellow"/>
        </w:rPr>
      </w:r>
    </w:p>
    <w:tbl>
      <w:tblPr>
        <w:tblpPr w:vertAnchor="text" w:horzAnchor="margin" w:tblpXSpec="center" w:leftFromText="180" w:rightFromText="180" w:tblpY="49"/>
        <w:tblW w:w="1343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934"/>
        <w:gridCol w:w="1135"/>
        <w:gridCol w:w="3955"/>
        <w:gridCol w:w="1080"/>
        <w:gridCol w:w="3329"/>
      </w:tblGrid>
      <w:tr>
        <w:trPr>
          <w:trHeight w:val="284" w:hRule="exact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Благополучная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highlight w:val="yellow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highlight w:val="yellow"/>
              </w:rPr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Благополучная формально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highlight w:val="yellow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highlight w:val="yellow"/>
              </w:rPr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Неблагополучная</w:t>
            </w:r>
          </w:p>
        </w:tc>
      </w:tr>
      <w:tr>
        <w:trPr>
          <w:trHeight w:val="284" w:hRule="exact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color w:val="000080"/>
                <w:sz w:val="24"/>
                <w:szCs w:val="24"/>
                <w:lang w:val="en-US"/>
              </w:rPr>
              <w:t>91%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000080"/>
                <w:sz w:val="24"/>
                <w:szCs w:val="24"/>
                <w:highlight w:val="yellow"/>
              </w:rPr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6E3BC" w:themeFill="accent3" w:themeFillTint="66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color w:val="000080"/>
                <w:sz w:val="24"/>
                <w:szCs w:val="24"/>
                <w:lang w:val="en-US"/>
              </w:rPr>
              <w:t>9%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/>
                <w:color w:val="000080"/>
                <w:sz w:val="24"/>
                <w:szCs w:val="24"/>
                <w:highlight w:val="yellow"/>
              </w:rPr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AEEF3" w:themeFill="accent5" w:themeFillTint="33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2060"/>
                <w:sz w:val="24"/>
                <w:szCs w:val="24"/>
              </w:rPr>
              <w:t>0%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  <w:t>(состоят на учете, как малоимущие семьи)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16"/>
          <w:szCs w:val="16"/>
          <w:highlight w:val="yellow"/>
        </w:rPr>
      </w:pPr>
      <w:r>
        <w:rPr>
          <w:rFonts w:cs="Times New Roman" w:ascii="Times New Roman" w:hAnsi="Times New Roman"/>
          <w:b/>
          <w:sz w:val="16"/>
          <w:szCs w:val="16"/>
          <w:highlight w:val="yellow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Вывод: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Все семьи разные – необходим дифференцированный подход.</w:t>
      </w:r>
      <w:r>
        <w:rPr>
          <w:rFonts w:cs="Times New Roman" w:ascii="Times New Roman" w:hAnsi="Times New Roman"/>
          <w:b/>
          <w:color w:val="C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Проведённое социологическое исследование семей обучающихся помогло сделать вывод о том, что успех взаимодействия не определяется только разнообразием, количеством и даже качеством методически грамотно проведённых мероприятий для родителей.  В большей степени успех зависит от умения педагогов и родителей услышать друг друга, от содержания и направленности на определённый контингент, т.к. интересы и потребности многодетной семьи (информация, знания и т.п.)  и семьи с одним ребёнком сильно отличаются.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Исследование выявило проблемы и трудности, которые родители разных категорий испытывают в воспитании детей. А именно: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взаимоотношения между детьми и родителями;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отношения между старшими и младшими детьми в семье;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незнание возрастных особенностей детей;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непослушание и упрямство;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низкий семейный бюджет.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Исходя из трудностей, заявленных родителями и имеющихся затруднений у педагогов, приоритетными для ДОУ стали следующие задачи: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- повысить  педагогическую  компетентность  родителей,  сформировать  у  них  уверенность  в  собственных педагогических возможностях;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-  возродить приоритет и престиж семьи, уважительное отношение всех членов семьи друг к другу;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- приобщить родителей к участию в жизни детского сада через поиск и внедрение наиболее эффективных форм работы;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-  укрепить статус ДОУ и авторитет воспитателя.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Для решения поставленных задач был разработан перспективный план взаимодействия ДОУ с семьями воспитанников с учётом дифференцированного подхода к каждой конкретной семье. Работа по этому плану в течение трёх последних лет принесла следующие положительные результаты: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- повышение профессионального уровня педагогов в вопросах взаимодействия и сотрудничества с семьями воспитанников;</w:t>
      </w:r>
    </w:p>
    <w:p>
      <w:pPr>
        <w:pStyle w:val="ListParagraph"/>
        <w:spacing w:lineRule="auto" w:line="240" w:before="0" w:after="0"/>
        <w:ind w:left="0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  повышение педагогической грамотности родителей;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преодоление барьера недоверия родителей к ДОУ и установление доверительных отношений с семьями воспитанников;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повышение интереса родителей к проблемам воспитания и развития детей;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активное участие семей воспитанников ДОУ в процессе подготовки и проведения различных мероприятий (конкурсы разного уровня, выставки совместного творчества, праздники, благоустройство территории ДОУ и пр.);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открытие новых возможностей, творческих способностей отдельных членов семей воспитанников ДОУ;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готовность большинства родителей к сотрудничеству с ДОУ;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укрепление   внутрисемейных   связей, эмоционального   семейного   общения, нахождение общих интересов и занятий;</w:t>
      </w:r>
    </w:p>
    <w:p>
      <w:pPr>
        <w:pStyle w:val="ListParagraph"/>
        <w:spacing w:lineRule="auto" w:line="240" w:before="0" w:after="0"/>
        <w:ind w:left="0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  сплочение родительского коллектива;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-   повышение </w:t>
      </w:r>
      <w:r>
        <w:rPr>
          <w:rFonts w:cs="Times New Roman" w:ascii="Times New Roman" w:hAnsi="Times New Roman"/>
          <w:sz w:val="28"/>
          <w:szCs w:val="28"/>
        </w:rPr>
        <w:t>положительного имиджа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ДОУ среди родителей (законных представителей) воспитанников.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настоящий момент имеются следующие проблемы: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-   не все воспитатели способны установить партнёрские отношения с родителями воспитанников;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-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сохраняется тенденция увеличения количества родителей с низким уровнем общей культуры, неумением конструктивно разрешать возникающие проблемные ситуации, неуважительное отношение к труду педагога;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-   недостаточное внимание уделяется пропаганде лучшего опыта семейного воспитания;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- недостаточно эффективный  подбор  форм взаимодействия и сотрудничества с родителями (законными представителями) воспитанников.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16"/>
          <w:szCs w:val="16"/>
        </w:rPr>
      </w:pPr>
      <w:r>
        <w:rPr>
          <w:rFonts w:eastAsia="Calibri"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16"/>
          <w:szCs w:val="16"/>
        </w:rPr>
      </w:pPr>
      <w:r>
        <w:rPr>
          <w:rFonts w:eastAsia="Calibri" w:cs="Times New Roman" w:ascii="Times New Roman" w:hAnsi="Times New Roman"/>
          <w:sz w:val="16"/>
          <w:szCs w:val="16"/>
        </w:rPr>
      </w:r>
    </w:p>
    <w:tbl>
      <w:tblPr>
        <w:tblStyle w:val="a3"/>
        <w:tblW w:w="1431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87"/>
        <w:gridCol w:w="8929"/>
      </w:tblGrid>
      <w:tr>
        <w:trPr/>
        <w:tc>
          <w:tcPr>
            <w:tcW w:w="5387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Сферы улучшения</w:t>
            </w:r>
          </w:p>
        </w:tc>
        <w:tc>
          <w:tcPr>
            <w:tcW w:w="8929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Какие действия для этого необходимо предпринять?</w:t>
            </w:r>
          </w:p>
        </w:tc>
      </w:tr>
      <w:tr>
        <w:trPr/>
        <w:tc>
          <w:tcPr>
            <w:tcW w:w="538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Пропаганда лучшего опыта семейного воспитания</w:t>
            </w:r>
          </w:p>
        </w:tc>
        <w:tc>
          <w:tcPr>
            <w:tcW w:w="8929" w:type="dxa"/>
            <w:tcBorders/>
            <w:shd w:color="auto" w:fill="DAEEF3" w:themeFill="accent5" w:themeFillTint="33" w:val="clear"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auto" w:line="240" w:before="0" w:after="0"/>
              <w:ind w:hanging="360"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auto" w:line="240" w:before="0" w:after="0"/>
              <w:ind w:hanging="360"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Обобщение и распространение лучшего опыта семейного воспитания.</w:t>
            </w:r>
          </w:p>
        </w:tc>
      </w:tr>
      <w:tr>
        <w:trPr/>
        <w:tc>
          <w:tcPr>
            <w:tcW w:w="538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с неорганизованными детьми и их семьями</w:t>
            </w:r>
          </w:p>
        </w:tc>
        <w:tc>
          <w:tcPr>
            <w:tcW w:w="8929" w:type="dxa"/>
            <w:tcBorders/>
            <w:shd w:color="auto" w:fill="DAEEF3" w:themeFill="accent5" w:themeFillTint="33" w:val="clear"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ind w:hanging="360"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ind w:hanging="360"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 и контроль.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ind w:hanging="360"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Применение наиболее эффективных форм взаимодействия с неорганизованными детьми и их семьями.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ind w:hanging="360"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Активизация такой формы взаимодействия с семьями воспитанников, как – посещение на дому.</w:t>
            </w:r>
          </w:p>
        </w:tc>
      </w:tr>
      <w:tr>
        <w:trPr/>
        <w:tc>
          <w:tcPr>
            <w:tcW w:w="538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положительного имиджа ДОУ</w:t>
            </w:r>
          </w:p>
        </w:tc>
        <w:tc>
          <w:tcPr>
            <w:tcW w:w="8929" w:type="dxa"/>
            <w:tcBorders/>
            <w:shd w:color="auto" w:fill="DAEEF3" w:themeFill="accent5" w:themeFillTint="33" w:val="clea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ind w:hanging="360" w:left="0"/>
              <w:contextualSpacing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Вовлечение родителей (законных представителей) воспитанников в образовательный процесс ДОУ.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ind w:hanging="360" w:left="0"/>
              <w:contextualSpacing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Внедрение новых инновационных форм работы с семьями воспитанников.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ind w:hanging="360"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Обеспечение высокой информированности родителей о работе детского сада через СМИ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, официальный Сайт ДОУ, официальную группу в социальной сети ВКонтаке «Детский сад № 5 «Ромашка»» (имеет статус Госорганизация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),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интернет-сообщества групп на платформе МАХ.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ind w:hanging="360"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16"/>
          <w:szCs w:val="16"/>
        </w:rPr>
      </w:pPr>
      <w:r>
        <w:rPr>
          <w:rFonts w:eastAsia="Calibri"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  <w:t>Что родителям больше всего нравится в ДОУ (по результатам анкетирования)?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i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Хороший психологический климат, доброжелательная обстановка в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Комфортные условия для воспитанников ДОУ.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Забота о здоровье и физическом развитии детей.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Интересные и разноплановые мероприятия, организуемые в ДОУ.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Профессионализм и творческий потенциал педагогов ДОУ.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Высокий уровень подготовки дошкольников к обучению в школе.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Информационная открытость ДОУ.</w:t>
      </w:r>
    </w:p>
    <w:p>
      <w:pPr>
        <w:pStyle w:val="ListParagraph"/>
        <w:spacing w:before="0" w:after="0"/>
        <w:ind w:left="14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7</w:t>
      </w:r>
    </w:p>
    <w:tbl>
      <w:tblPr>
        <w:tblStyle w:val="a3"/>
        <w:tblW w:w="1431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61"/>
        <w:gridCol w:w="2693"/>
        <w:gridCol w:w="2550"/>
        <w:gridCol w:w="2269"/>
        <w:gridCol w:w="3544"/>
      </w:tblGrid>
      <w:tr>
        <w:trPr/>
        <w:tc>
          <w:tcPr>
            <w:tcW w:w="3261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Параметры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108" w:righ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(неудовлетворительно)</w:t>
            </w:r>
          </w:p>
        </w:tc>
        <w:tc>
          <w:tcPr>
            <w:tcW w:w="2550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(удовлетворительно)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(хорошо)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44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(отлично)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261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Посещение родителями (законными представителями) обучающихся родительских собраний в ДОО (за последние три года)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color="auto" w:fill="DBE5F1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4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 последние три года наблюдается устойчивая положительная динамика посещения родителями (законными представителями) обучающихся родительских собраний в ДОУ – 75-9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0%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sz w:val="8"/>
                <w:szCs w:val="8"/>
              </w:rPr>
            </w:r>
          </w:p>
        </w:tc>
      </w:tr>
      <w:tr>
        <w:trPr/>
        <w:tc>
          <w:tcPr>
            <w:tcW w:w="3261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Участие родителей (законных представителей) в мероприятиях ДОО (за последние три года)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color="auto" w:fill="DBE5F1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4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 последние три года наблюдается устойчивая положительная динамика участия родителей (законных представителей) в различных мероприятиях, проводимых в ДОУ: мастер-классы, выставки творческих работ, конкурсы, праздники, досуги, развлечения, субботники и др. – 75-9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0%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sz w:val="8"/>
                <w:szCs w:val="8"/>
              </w:rPr>
            </w:r>
          </w:p>
        </w:tc>
      </w:tr>
      <w:tr>
        <w:trPr/>
        <w:tc>
          <w:tcPr>
            <w:tcW w:w="3261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Добровольная финансовая, материальная помощь родителей (законных представителей)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color="auto" w:fill="DBE5F1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4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Родители по необходимости оказывают безвозмездную помощь ДОУ.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sz w:val="8"/>
                <w:szCs w:val="8"/>
              </w:rPr>
            </w:r>
          </w:p>
        </w:tc>
      </w:tr>
      <w:tr>
        <w:trPr/>
        <w:tc>
          <w:tcPr>
            <w:tcW w:w="3261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Процент родителей (законных представителей) обучающихся, высказывающих позитивное отношение к ДОУ (результаты анкетирования, опросов за предыдущий учебный год)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color="auto" w:fill="DBE5F1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4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98 % родителей (законных представителей) обучающихся высказывают позитивное отношение к ДОУ</w:t>
            </w:r>
          </w:p>
        </w:tc>
      </w:tr>
      <w:tr>
        <w:trPr/>
        <w:tc>
          <w:tcPr>
            <w:tcW w:w="3261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Обращение в вышестоящие организации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color="auto" w:fill="DBE5F1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4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 последние три года от родителей ДОУ жалоб в вышестоящие организации не поступало.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sz w:val="8"/>
                <w:szCs w:val="8"/>
              </w:rPr>
            </w:r>
          </w:p>
        </w:tc>
      </w:tr>
      <w:tr>
        <w:trPr/>
        <w:tc>
          <w:tcPr>
            <w:tcW w:w="3261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cs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Средний балл:</w:t>
            </w:r>
          </w:p>
        </w:tc>
        <w:tc>
          <w:tcPr>
            <w:tcW w:w="11056" w:type="dxa"/>
            <w:gridSpan w:val="4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cs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sz w:val="8"/>
                <w:szCs w:val="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fill="FBFBFB" w:val="clear"/>
        </w:rPr>
      </w:pPr>
      <w:r>
        <w:rPr>
          <w:rFonts w:cs="Times New Roman" w:ascii="Times New Roman" w:hAnsi="Times New Roman"/>
          <w:sz w:val="28"/>
          <w:szCs w:val="28"/>
        </w:rPr>
        <w:t>Во всех группах ДОУ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 различных мессенджерах и социальных сетях созданы закрытые интернет-сообщества для родителей, предоставляющие широкие возможности для коммуникации и эффективного взаимодействия педагогов, родителей воспитанников и администрации ДОУ. Родители в любое удобное время могут задать волнующие их вопросы, своевременно получить полезные советы и рекомендации, консультации о методах обучения, развития и воспитания детей и многое другое.</w:t>
      </w:r>
      <w:r>
        <w:rPr>
          <w:rFonts w:cs="Arial" w:ascii="Arial" w:hAnsi="Arial"/>
          <w:b/>
          <w:bCs/>
          <w:color w:val="333333"/>
          <w:sz w:val="20"/>
          <w:szCs w:val="20"/>
          <w:shd w:fill="FBFBFB" w:val="clear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/>
          <w:color w:themeColor="text1" w:val="000000"/>
          <w:sz w:val="8"/>
          <w:szCs w:val="8"/>
        </w:rPr>
      </w:pPr>
      <w:r>
        <w:rPr>
          <w:rFonts w:eastAsia="Calibri" w:cs="Times New Roman" w:ascii="Times New Roman" w:hAnsi="Times New Roman"/>
          <w:b/>
          <w:color w:themeColor="text1" w:val="000000"/>
          <w:sz w:val="8"/>
          <w:szCs w:val="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color w:themeColor="text1" w:val="000000"/>
          <w:sz w:val="28"/>
          <w:szCs w:val="28"/>
        </w:rPr>
      </w:pPr>
      <w:r>
        <w:rPr>
          <w:rFonts w:eastAsia="Calibri" w:cs="Times New Roman" w:ascii="Times New Roman" w:hAnsi="Times New Roman"/>
          <w:b/>
          <w:color w:themeColor="text1" w:val="000000"/>
          <w:sz w:val="28"/>
          <w:szCs w:val="28"/>
        </w:rPr>
        <w:t xml:space="preserve">Вывод: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/>
          <w:color w:val="C00000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Большинство родителей признательны ДОУ и педагогам за паритетное и партнёрское участие в воспитании и обучении ребёнка, так как только при таком подходе можно говорить об уходе от формализма, исключении полярности между потребностями и возможностями в детском саду и семье, ответственности родителей и социальном партнёрстве ДОУ.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Самое главное, прослеживается тенденция формирования осознанного родительства, то есть умения самостоятельно решать задачи обучения, развития и воспитания детей, а это – неотъемлемый атрибут компетентной семьи.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ВЗАИМОДЕЙСТВИЕ ДОУ С ОБЩЕСТВЕННОСТЬЮ, СОЦИАЛЬНЫМИ ПАРТНЁРАМИ,</w:t>
      </w:r>
    </w:p>
    <w:p>
      <w:pPr>
        <w:pStyle w:val="ListParagraph"/>
        <w:spacing w:lineRule="auto" w:line="240" w:before="0" w:after="0"/>
        <w:ind w:left="64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ДРУГИМИ ОБРАЗОВАТЕЛЬНЫМИ ОРГАНИЗАЦИЯМИ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создания единой воспитательной системы, педагоги ДОУ регулярно используют возможности социума микрорайона и города (см. раздел 2).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№ 8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cs="Times New Roman" w:ascii="Times New Roman" w:hAnsi="Times New Roman"/>
          <w:sz w:val="8"/>
          <w:szCs w:val="8"/>
        </w:rPr>
      </w:r>
    </w:p>
    <w:tbl>
      <w:tblPr>
        <w:tblStyle w:val="a3"/>
        <w:tblW w:w="14460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970"/>
        <w:gridCol w:w="2833"/>
        <w:gridCol w:w="2554"/>
        <w:gridCol w:w="2125"/>
        <w:gridCol w:w="2978"/>
      </w:tblGrid>
      <w:tr>
        <w:trPr/>
        <w:tc>
          <w:tcPr>
            <w:tcW w:w="3970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Параметры</w:t>
            </w:r>
          </w:p>
        </w:tc>
        <w:tc>
          <w:tcPr>
            <w:tcW w:w="2833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(неудовлетворительно)</w:t>
            </w:r>
          </w:p>
        </w:tc>
        <w:tc>
          <w:tcPr>
            <w:tcW w:w="2554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(удовлетворительно)</w:t>
            </w:r>
          </w:p>
        </w:tc>
        <w:tc>
          <w:tcPr>
            <w:tcW w:w="2125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(хорошо)</w:t>
            </w:r>
          </w:p>
        </w:tc>
        <w:tc>
          <w:tcPr>
            <w:tcW w:w="2978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(отлично)</w:t>
            </w:r>
          </w:p>
        </w:tc>
      </w:tr>
      <w:tr>
        <w:trPr>
          <w:trHeight w:val="1920" w:hRule="atLeast"/>
        </w:trPr>
        <w:tc>
          <w:tcPr>
            <w:tcW w:w="3970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Участие ДОУ в выставках, конкурсах, проектах</w:t>
            </w:r>
          </w:p>
        </w:tc>
        <w:tc>
          <w:tcPr>
            <w:tcW w:w="2833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8" w:type="dxa"/>
            <w:tcBorders/>
            <w:shd w:color="auto" w:fill="FFFF99" w:val="clear"/>
          </w:tcPr>
          <w:p>
            <w:pPr>
              <w:pStyle w:val="BodyText"/>
              <w:widowControl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eastAsia="Calibri" w:cs="Times New Roman"/>
                <w:b/>
                <w:bCs/>
                <w:i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 балла</w:t>
            </w:r>
          </w:p>
          <w:p>
            <w:pPr>
              <w:pStyle w:val="BodyText"/>
              <w:spacing w:before="0" w:after="200"/>
              <w:ind w:hanging="0" w:left="0" w:right="0"/>
              <w:rPr/>
            </w:pPr>
            <w:r>
              <w:rPr>
                <w:color w:val="000000"/>
                <w:sz w:val="24"/>
              </w:rPr>
              <w:t xml:space="preserve">Ежегодно педагоги и воспитанники ДОУ принимают участие и занимают призовые места в выставках творческого мастерства, конкурсах разного уровня: -региональный конкурс «Светлый праздник»; </w:t>
            </w:r>
            <w:r>
              <w:rPr>
                <w:rFonts w:ascii="Nimbus Roman" w:hAnsi="Nimbus Roman"/>
                <w:color w:val="000000"/>
                <w:sz w:val="24"/>
              </w:rPr>
              <w:t>-</w:t>
            </w:r>
            <w:r>
              <w:rPr>
                <w:rFonts w:cs="" w:ascii="Nimbus Roman" w:hAnsi="Nimbus Roman" w:cstheme="minorBidi"/>
                <w:color w:val="000000"/>
                <w:sz w:val="24"/>
                <w:shd w:fill="auto" w:val="clear"/>
              </w:rPr>
              <w:t>муниципальный конкурс</w:t>
            </w:r>
            <w:r>
              <w:rPr>
                <w:rFonts w:ascii="Nimbus Roman" w:hAnsi="Nimbus Roman"/>
                <w:color w:val="000000"/>
                <w:sz w:val="24"/>
                <w:shd w:fill="FFFFFF" w:val="clear"/>
              </w:rPr>
              <w:t xml:space="preserve"> </w:t>
            </w:r>
            <w:r>
              <w:rPr>
                <w:color w:val="000000"/>
                <w:sz w:val="24"/>
              </w:rPr>
              <w:t xml:space="preserve">«Семейная реликвия»;       - муниципальный конкурс «Именины у рябины» </w:t>
            </w:r>
            <w:r>
              <w:rPr>
                <w:rFonts w:cs="" w:ascii="Arial" w:hAnsi="Arial" w:cstheme="minorBidi"/>
                <w:color w:val="000000"/>
                <w:sz w:val="22"/>
                <w:shd w:fill="auto" w:val="clear"/>
              </w:rPr>
              <w:t xml:space="preserve">-муниципальный конкурс </w:t>
            </w:r>
            <w:r>
              <w:rPr>
                <w:rFonts w:cs="" w:ascii="Nimbus Roman" w:hAnsi="Nimbus Roman" w:cstheme="minorBidi"/>
                <w:color w:val="000000"/>
                <w:sz w:val="24"/>
                <w:shd w:fill="auto" w:val="clear"/>
              </w:rPr>
              <w:t xml:space="preserve">«Город в котором мы живём»;        -муниципальный конкурс «Новогодний калейдоскоп»   -муниципальный конкурс«Рождественский подарок»;  </w:t>
            </w:r>
            <w:r>
              <w:rPr>
                <w:rFonts w:ascii="Nimbus Roman" w:hAnsi="Nimbus Roman"/>
                <w:color w:val="000000"/>
                <w:sz w:val="24"/>
                <w:shd w:fill="FFFFFF" w:val="clear"/>
              </w:rPr>
              <w:t xml:space="preserve"> </w:t>
            </w:r>
            <w:r>
              <w:rPr>
                <w:rFonts w:cs="" w:ascii="Nimbus Roman" w:hAnsi="Nimbus Roman" w:cstheme="minorBidi"/>
                <w:color w:val="000000"/>
                <w:sz w:val="24"/>
                <w:shd w:fill="auto" w:val="clear"/>
              </w:rPr>
              <w:t xml:space="preserve">-муниципальный этап всероссийского конкурса экологических рисунков;  - муниципальный конкурс «Путь в профессию»;   </w:t>
            </w:r>
            <w:r>
              <w:rPr>
                <w:rFonts w:ascii="Nimbus Roman" w:hAnsi="Nimbus Roman"/>
                <w:color w:val="000000"/>
                <w:sz w:val="24"/>
                <w:shd w:fill="FFFFFF" w:val="clear"/>
              </w:rPr>
              <w:t xml:space="preserve"> </w:t>
            </w:r>
            <w:r>
              <w:rPr>
                <w:rFonts w:cs="" w:ascii="Nimbus Roman" w:hAnsi="Nimbus Roman" w:cstheme="minorBidi"/>
                <w:color w:val="000000"/>
                <w:sz w:val="24"/>
                <w:shd w:fill="auto" w:val="clear"/>
              </w:rPr>
              <w:t>-муниципальный конкурс «Охрана труда».</w:t>
            </w:r>
          </w:p>
        </w:tc>
      </w:tr>
      <w:tr>
        <w:trPr/>
        <w:tc>
          <w:tcPr>
            <w:tcW w:w="3970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Профессиональная активность ДОУ: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работа в режиме муниципальной опорной площадки,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работа в режиме региональной инновационной площадки,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работа в режиме федеральной инновационной площадки,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работа в качестве соисполнителя в региональных, федеральных, международных проектах,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работа в режиме базы практики, стажерской площадки повышения квалификации педагогов других ДОУ</w:t>
            </w:r>
          </w:p>
        </w:tc>
        <w:tc>
          <w:tcPr>
            <w:tcW w:w="2833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0 баллов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Нет</w:t>
            </w:r>
          </w:p>
        </w:tc>
        <w:tc>
          <w:tcPr>
            <w:tcW w:w="255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8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70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Система информирования местного сообщества</w:t>
            </w:r>
          </w:p>
        </w:tc>
        <w:tc>
          <w:tcPr>
            <w:tcW w:w="2833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8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Система информирования функционирует в штатном режиме и включает в себя: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8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 официальный Сайт ДОУ;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8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 официальная группа в социальной сети в ВКонтакте «Детский сад  № 5 «Ромашка»» (имеет статус Госорганизация);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8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 информационные группы для родителей групп на платформе МАХ; -официальный канал организации на платформе МАХ;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8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 основная информация о функционировании ДОУ (документы, регламентирующие деятельность ДОУ, информация об оказываемых в ДОУ образовательных услугах, об организации образовательного процесса и многое другое) размещена на информационных стендах и всегда доступна для родителей и посетителей ДОУ;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8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 персональное информирование родителей о результатах и достижениях детей.</w:t>
            </w:r>
          </w:p>
        </w:tc>
      </w:tr>
      <w:tr>
        <w:trPr/>
        <w:tc>
          <w:tcPr>
            <w:tcW w:w="3970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Отзывы СМИ (за последние три года)</w:t>
            </w:r>
          </w:p>
        </w:tc>
        <w:tc>
          <w:tcPr>
            <w:tcW w:w="2833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1 балл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Ежегодно в СМИ выходят публикации с упоминанием работы детских садов, в том числе и нашего ДОУ, позитивно характеризующие его деятельность.</w:t>
            </w:r>
          </w:p>
        </w:tc>
        <w:tc>
          <w:tcPr>
            <w:tcW w:w="2125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8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70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cs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Средний балл: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490" w:type="dxa"/>
            <w:gridSpan w:val="4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cs="Times New Roman" w:ascii="Times New Roman" w:hAnsi="Times New Roman"/>
                <w:b/>
                <w:sz w:val="8"/>
                <w:szCs w:val="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1,8 балла</w:t>
            </w:r>
          </w:p>
        </w:tc>
      </w:tr>
    </w:tbl>
    <w:p>
      <w:pPr>
        <w:pStyle w:val="Normal"/>
        <w:tabs>
          <w:tab w:val="clear" w:pos="708"/>
          <w:tab w:val="left" w:pos="3960" w:leader="none"/>
          <w:tab w:val="left" w:pos="528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tabs>
          <w:tab w:val="clear" w:pos="708"/>
          <w:tab w:val="left" w:pos="3960" w:leader="none"/>
          <w:tab w:val="left" w:pos="528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Ежегодно:</w:t>
      </w:r>
    </w:p>
    <w:p>
      <w:pPr>
        <w:pStyle w:val="Normal"/>
        <w:tabs>
          <w:tab w:val="clear" w:pos="708"/>
          <w:tab w:val="left" w:pos="3960" w:leader="none"/>
          <w:tab w:val="left" w:pos="5280" w:leader="none"/>
        </w:tabs>
        <w:spacing w:lineRule="auto" w:line="240" w:before="0" w:after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 воспитанники и педагоги ДОУ являются постоянными гостями выставок в </w:t>
      </w:r>
      <w:r>
        <w:rPr>
          <w:rFonts w:eastAsia="Calibri" w:cs="Times New Roman" w:ascii="Times New Roman" w:hAnsi="Times New Roman"/>
          <w:sz w:val="28"/>
          <w:szCs w:val="28"/>
        </w:rPr>
        <w:t>МБУ культуры «Вичугский городской художественный музей»</w:t>
      </w:r>
      <w:r>
        <w:rPr>
          <w:rFonts w:cs="Times New Roman" w:ascii="Times New Roman" w:hAnsi="Times New Roman"/>
          <w:sz w:val="28"/>
          <w:szCs w:val="28"/>
        </w:rPr>
        <w:t>, популярными стали выездные экскурсии, организуемые сотрудниками музея на базе детского сада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;</w:t>
      </w:r>
    </w:p>
    <w:p>
      <w:pPr>
        <w:pStyle w:val="Normal"/>
        <w:tabs>
          <w:tab w:val="clear" w:pos="708"/>
          <w:tab w:val="left" w:pos="3960" w:leader="none"/>
          <w:tab w:val="left" w:pos="5280" w:leader="none"/>
        </w:tabs>
        <w:spacing w:lineRule="auto" w:line="240" w:before="0" w:after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сотрудники </w:t>
      </w:r>
      <w:r>
        <w:rPr>
          <w:rFonts w:eastAsia="Calibri" w:cs="Times New Roman" w:ascii="Times New Roman" w:hAnsi="Times New Roman"/>
          <w:sz w:val="28"/>
          <w:szCs w:val="28"/>
        </w:rPr>
        <w:t>МБУ культуры «Централизованная библиотечная система»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регулярно посещают детский сад с целью приобщения   детей   к книге, воспитания интереса к чтению, воспитания будущего читателя.</w:t>
      </w:r>
      <w:r>
        <w:rPr>
          <w:rFonts w:ascii="Times New Roman" w:hAnsi="Times New Roman"/>
          <w:color w:themeColor="text1" w:val="000000"/>
          <w:sz w:val="28"/>
          <w:szCs w:val="28"/>
        </w:rPr>
        <w:t xml:space="preserve"> Педагогам и воспитанникам нашего ДОУ предоставлялась возможность получать книги и журналы для чтения из фонда библиотеки на интересующие темы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themeColor="text1"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color w:themeColor="text1" w:val="000000"/>
          <w:sz w:val="28"/>
          <w:szCs w:val="28"/>
          <w:shd w:fill="FFFFFF" w:val="clear"/>
        </w:rPr>
        <w:t xml:space="preserve">Взаимодействие с общественностью, социальными партнёрами, другими образовательными организациями проводилось в том числе и  дистанционном режиме: были разработаны и проводились с детьми виртуальные экскурсии в музей, библиотеку, аптеку, магазин, пожарную часть и т.д., с помощью обучающих и развивающих видеофильмов, презентаций педагоги знакомили детей с окружающим и социальным миром.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tbl>
      <w:tblPr>
        <w:tblStyle w:val="a3"/>
        <w:tblW w:w="1460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87"/>
        <w:gridCol w:w="7513"/>
      </w:tblGrid>
      <w:tr>
        <w:trPr/>
        <w:tc>
          <w:tcPr>
            <w:tcW w:w="7087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Наиболее сильные характеристики</w:t>
            </w:r>
          </w:p>
        </w:tc>
        <w:tc>
          <w:tcPr>
            <w:tcW w:w="7513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Какие факторы повлияли на результат?</w:t>
            </w:r>
          </w:p>
        </w:tc>
      </w:tr>
      <w:tr>
        <w:trPr/>
        <w:tc>
          <w:tcPr>
            <w:tcW w:w="708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tabs>
                <w:tab w:val="clear" w:pos="708"/>
                <w:tab w:val="left" w:pos="3960" w:leader="none"/>
                <w:tab w:val="left" w:pos="52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3960" w:leader="none"/>
                <w:tab w:val="left" w:pos="5280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Расширение кругозора обучающихся (освоение предметного и природного окружения, знакомство с историей родного города, края, страны, традициями народа);</w:t>
            </w:r>
          </w:p>
          <w:p>
            <w:pPr>
              <w:pStyle w:val="Normal"/>
              <w:widowControl/>
              <w:tabs>
                <w:tab w:val="clear" w:pos="708"/>
                <w:tab w:val="left" w:pos="3960" w:leader="none"/>
                <w:tab w:val="left" w:pos="5280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формирование навыков общения в различных социальных ситуациях, с людьми разного пола, возраста, национальности, с представителями разных профессий;</w:t>
            </w:r>
          </w:p>
          <w:p>
            <w:pPr>
              <w:pStyle w:val="Normal"/>
              <w:widowControl/>
              <w:tabs>
                <w:tab w:val="clear" w:pos="708"/>
                <w:tab w:val="left" w:pos="3960" w:leader="none"/>
                <w:tab w:val="left" w:pos="52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повышение качества образовательного процесса в ДОУ;</w:t>
            </w:r>
          </w:p>
          <w:p>
            <w:pPr>
              <w:pStyle w:val="Normal"/>
              <w:widowControl/>
              <w:tabs>
                <w:tab w:val="clear" w:pos="708"/>
                <w:tab w:val="left" w:pos="3960" w:leader="none"/>
                <w:tab w:val="left" w:pos="52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повышение уровня социальной активности ДОУ.</w:t>
            </w:r>
          </w:p>
        </w:tc>
        <w:tc>
          <w:tcPr>
            <w:tcW w:w="7513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Информационная открытость ДОУ;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создание системы взаимодействия ДОУ с учреждениями социума микрорайона и города;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использование новой формы организации ознакомления детей с окружающим и социальным миром – виртуальная экскурсия;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использование образовательного и творческого потенциала учреждений ближайшего социума.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i/>
          <w:color w:val="C00000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i/>
          <w:i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C00000"/>
          <w:sz w:val="28"/>
          <w:szCs w:val="28"/>
        </w:rPr>
        <w:t>Аспекты, нуждающиеся в улучшении</w:t>
      </w:r>
    </w:p>
    <w:p>
      <w:pPr>
        <w:pStyle w:val="Normal"/>
        <w:spacing w:before="0" w:after="0"/>
        <w:rPr>
          <w:rFonts w:ascii="Times New Roman" w:hAnsi="Times New Roman" w:cs="Times New Roman"/>
          <w:b/>
          <w:i/>
          <w:i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i/>
          <w:color w:val="C00000"/>
          <w:sz w:val="16"/>
          <w:szCs w:val="16"/>
        </w:rPr>
      </w:r>
    </w:p>
    <w:tbl>
      <w:tblPr>
        <w:tblStyle w:val="a3"/>
        <w:tblW w:w="1416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45"/>
        <w:gridCol w:w="7023"/>
      </w:tblGrid>
      <w:tr>
        <w:trPr/>
        <w:tc>
          <w:tcPr>
            <w:tcW w:w="7145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Сферы улучшения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7023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Какие действия для этого необходимо предпринять?</w:t>
            </w:r>
          </w:p>
        </w:tc>
      </w:tr>
      <w:tr>
        <w:trPr/>
        <w:tc>
          <w:tcPr>
            <w:tcW w:w="7145" w:type="dxa"/>
            <w:tcBorders/>
            <w:shd w:color="auto" w:fill="F2DBDB" w:themeFill="accent2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Взаимодействие с социальными учреждениями города.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7023" w:type="dxa"/>
            <w:tcBorders/>
            <w:shd w:color="auto" w:fill="DAEEF3" w:themeFill="accent5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- Овладение современными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методами и формами взаимодействия с социальными партнерами;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- создание атмосферы заинтересованности друг другом.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С целью максимального использования потенциала социального партнерства, коллективу ДОУ необходимо: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активнее привлекать к сотрудничеству социальные учреждения города;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находить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современные и </w:t>
      </w:r>
      <w:r>
        <w:rPr>
          <w:rFonts w:ascii="Times New Roman" w:hAnsi="Times New Roman"/>
          <w:sz w:val="28"/>
          <w:szCs w:val="28"/>
        </w:rPr>
        <w:t>эффективные</w:t>
      </w:r>
      <w:r>
        <w:rPr>
          <w:rFonts w:cs="Times New Roman" w:ascii="Times New Roman" w:hAnsi="Times New Roman"/>
          <w:sz w:val="28"/>
          <w:szCs w:val="28"/>
        </w:rPr>
        <w:t xml:space="preserve"> методы и формы взаимодействия с социальными партнерами;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продолжать активно освещать проделанную работу на официальном Сайте ДОУ, в </w:t>
      </w:r>
      <w:r>
        <w:rPr>
          <w:rFonts w:cs="Times New Roman" w:ascii="Times New Roman" w:hAnsi="Times New Roman"/>
          <w:sz w:val="28"/>
          <w:szCs w:val="28"/>
        </w:rPr>
        <w:t xml:space="preserve">официальной группе в социальной сети в ВКонтакте «Детский сад  № 5 «Ромашка»» (имеет статус Госорганизация), в официальном канале организации  на платформе МАХ </w:t>
      </w:r>
      <w:r>
        <w:rPr>
          <w:rFonts w:ascii="Times New Roman" w:hAnsi="Times New Roman"/>
          <w:color w:val="000000"/>
          <w:sz w:val="28"/>
          <w:szCs w:val="28"/>
        </w:rPr>
        <w:t>с целью роста популярности данных ресурсов среди пользователей и повышения положительного имиджа ДОУ.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8. ЭФФЕКТИВНОСТЬ УПРАВЛЕНИЯ ДОУ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Согласно Устава ДОУ управление осуществляется в соответствии с действующим законодательством РФ на принципах единоначалия и коллегиальности.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В ДОУ функционируют следующие органы самоуправления: Общее собрание работников, педагогический совет, Управляющий совет ДОУ и родительские комитеты групп. В системе управления четко прослеживается иерархия управления, подчинения, соподчинения и взаимодействия в управлении ДОУ. В должностных инструкциях работников прописано кто является его непосредственным руководителем.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9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tbl>
      <w:tblPr>
        <w:tblStyle w:val="a3"/>
        <w:tblW w:w="143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10"/>
        <w:gridCol w:w="2551"/>
        <w:gridCol w:w="2411"/>
        <w:gridCol w:w="2833"/>
        <w:gridCol w:w="3035"/>
      </w:tblGrid>
      <w:tr>
        <w:trPr>
          <w:trHeight w:val="823" w:hRule="atLeast"/>
        </w:trPr>
        <w:tc>
          <w:tcPr>
            <w:tcW w:w="3510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Параметры</w:t>
            </w:r>
          </w:p>
        </w:tc>
        <w:tc>
          <w:tcPr>
            <w:tcW w:w="255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(неудовлетворительно)</w:t>
            </w:r>
          </w:p>
        </w:tc>
        <w:tc>
          <w:tcPr>
            <w:tcW w:w="241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105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-105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(удовлетворительно)</w:t>
            </w:r>
          </w:p>
        </w:tc>
        <w:tc>
          <w:tcPr>
            <w:tcW w:w="2833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(хорошо)</w:t>
            </w:r>
          </w:p>
        </w:tc>
        <w:tc>
          <w:tcPr>
            <w:tcW w:w="3035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(отлично)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10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Соответствие деятельности ДОУ требованиям законодательства в сфере образования (отсутствие предписаний надзорных органов, объективных жалоб) – за предыдущий год</w:t>
            </w:r>
          </w:p>
        </w:tc>
        <w:tc>
          <w:tcPr>
            <w:tcW w:w="255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3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35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Нет предписаний.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Показатели качества образования, кадрового обеспечения, информационно-технического оснащения ДОУ соответствуют требованиям нормативной документации.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sz w:val="8"/>
                <w:szCs w:val="8"/>
              </w:rPr>
            </w:r>
          </w:p>
        </w:tc>
      </w:tr>
      <w:tr>
        <w:trPr/>
        <w:tc>
          <w:tcPr>
            <w:tcW w:w="3510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Функционирование системы государственно-общественного управления в ДОУ</w:t>
            </w:r>
          </w:p>
        </w:tc>
        <w:tc>
          <w:tcPr>
            <w:tcW w:w="255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3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35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75% работников являются членами профсоюза, активно участвуют в общественной жизни и управлении ДОУ в пределах своей компетенции.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sz w:val="8"/>
                <w:szCs w:val="8"/>
              </w:rPr>
            </w:r>
          </w:p>
        </w:tc>
      </w:tr>
      <w:tr>
        <w:trPr/>
        <w:tc>
          <w:tcPr>
            <w:tcW w:w="3510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Реализация социокультурных проектов (музей, театр, научное общество, социальные проекты)</w:t>
            </w:r>
          </w:p>
        </w:tc>
        <w:tc>
          <w:tcPr>
            <w:tcW w:w="255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3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35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100% воспитанников ДОУ охвачены реализацией социокультурных проектов.</w:t>
            </w:r>
          </w:p>
        </w:tc>
      </w:tr>
      <w:tr>
        <w:trPr/>
        <w:tc>
          <w:tcPr>
            <w:tcW w:w="3510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Обеспечение психолого-педагогической поддержки семьи и повышения компетентности родителей (законных представителей) в вопросах воспитания, развития и обучения, охраны и укрепления здоровья детей.</w:t>
            </w:r>
          </w:p>
        </w:tc>
        <w:tc>
          <w:tcPr>
            <w:tcW w:w="255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3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Педагогическую поддержку получают 100% семей. В связи с отсутствием в штатном расписании ДОУ единицы психолога квалифицированная  психологическая поддержка не оказывается.</w:t>
            </w:r>
          </w:p>
        </w:tc>
        <w:tc>
          <w:tcPr>
            <w:tcW w:w="3035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10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Участие в процедурах независимой оценки качества образования</w:t>
            </w:r>
          </w:p>
        </w:tc>
        <w:tc>
          <w:tcPr>
            <w:tcW w:w="255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3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35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ДОУ является участником процедур независимой оценки качества образования.</w:t>
            </w:r>
          </w:p>
        </w:tc>
      </w:tr>
      <w:tr>
        <w:trPr/>
        <w:tc>
          <w:tcPr>
            <w:tcW w:w="3510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Соответствие результатов внутренней системы оценки качества образования результатам независимой системы оценки качества работы ДОУ</w:t>
            </w:r>
          </w:p>
        </w:tc>
        <w:tc>
          <w:tcPr>
            <w:tcW w:w="255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3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35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 последние три года отрицательной динамики не наблюдается.</w:t>
            </w:r>
          </w:p>
        </w:tc>
      </w:tr>
      <w:tr>
        <w:trPr/>
        <w:tc>
          <w:tcPr>
            <w:tcW w:w="3510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программы развития ДОУ;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образовательной программы ДОУ;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программы работы с одаренными детьми;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программы по сохранению и укреплению здоровья детей;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программы физкультурно-оздоровительной и спортивной работы;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программы работы с детьми из социально-неблагополучных семей.</w:t>
            </w:r>
          </w:p>
        </w:tc>
        <w:tc>
          <w:tcPr>
            <w:tcW w:w="255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3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 всех перечисленных программ в ДОУ отсутствует только программа работы с одаренными детьми.</w:t>
            </w:r>
          </w:p>
        </w:tc>
        <w:tc>
          <w:tcPr>
            <w:tcW w:w="3035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10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Регулярность и частота использования результатов управленческого мониторинга реализации разработанных программ в ДОУ.</w:t>
            </w:r>
          </w:p>
        </w:tc>
        <w:tc>
          <w:tcPr>
            <w:tcW w:w="255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color="auto" w:fill="FFFF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3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35" w:type="dxa"/>
            <w:tcBorders/>
            <w:shd w:color="auto" w:fill="EAF1DD" w:themeFill="accent3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Мониторинг реализации разработанных программ в ДОУ осуществляется регулярно, на основе анализа полученных результатов планируется дальнейшая работа ДОУ по всем направлениям.</w:t>
            </w:r>
          </w:p>
        </w:tc>
      </w:tr>
      <w:tr>
        <w:trPr/>
        <w:tc>
          <w:tcPr>
            <w:tcW w:w="3510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Средний балл: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30" w:type="dxa"/>
            <w:gridSpan w:val="4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2,8 балла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Эффективность работы органов управления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Общее собрание работников собирается по мере необходимости, но не реже чем 2 раза в год. На Общем собрании регулярно обсуждаются вопросы по улучшению качества работы ДОУ, повышению положительного имиджа ДОУ, принимаются внутренние локальные акты и изменения к ним.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Педагогический совет обсуждает и принимает решения по вопросам организации образовательной деятельности, поощрения отличившихся педагогов.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Управляющий совет способствует сплочению участников образовательного процесса, вносит свои предложения по эффективному использованию финансовых средств ДОУ, улучшению материально-технической базы ДОУ.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Родительские комитеты всех групп участвуют в решении образовательных, финансовых, практических задач в деятельности конкретной группы, содействуют решению организационных моментов.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Профсоюзный комитет работает в тесном контакте с администрацией ДОУ по всем вопросам, касающимся защиты трудовых прав и обязанностей работников и работодателя.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Лучшие аспекты управления ДОУ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tbl>
      <w:tblPr>
        <w:tblStyle w:val="a3"/>
        <w:tblW w:w="142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17"/>
        <w:gridCol w:w="9060"/>
      </w:tblGrid>
      <w:tr>
        <w:trPr>
          <w:trHeight w:val="519" w:hRule="atLeast"/>
        </w:trPr>
        <w:tc>
          <w:tcPr>
            <w:tcW w:w="5217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Наиболее сильные аспекты управления</w:t>
            </w:r>
          </w:p>
        </w:tc>
        <w:tc>
          <w:tcPr>
            <w:tcW w:w="9060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Какие факторы повлияли на результат</w:t>
            </w:r>
          </w:p>
        </w:tc>
      </w:tr>
      <w:tr>
        <w:trPr/>
        <w:tc>
          <w:tcPr>
            <w:tcW w:w="5217" w:type="dxa"/>
            <w:tcBorders/>
            <w:shd w:color="auto" w:fill="F2DBDB" w:themeFill="accent2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Образовательный</w:t>
            </w:r>
          </w:p>
        </w:tc>
        <w:tc>
          <w:tcPr>
            <w:tcW w:w="9060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Управленческий мониторинг качества работы ДОУ.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современной инфраструктуры.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sz w:val="8"/>
                <w:szCs w:val="8"/>
              </w:rPr>
            </w:r>
          </w:p>
        </w:tc>
      </w:tr>
      <w:tr>
        <w:trPr/>
        <w:tc>
          <w:tcPr>
            <w:tcW w:w="5217" w:type="dxa"/>
            <w:tcBorders/>
            <w:shd w:color="auto" w:fill="F2DBDB" w:themeFill="accent2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Психологический</w:t>
            </w:r>
          </w:p>
        </w:tc>
        <w:tc>
          <w:tcPr>
            <w:tcW w:w="9060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Активное взаимодействие между всеми участниками образовательного процесса.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Стабильный, квалифицированный сплоченный коллектив.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Благоприятный микроклимат в коллективе.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Интеграция использования управленческих подходов, а не их автономное применение.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sz w:val="8"/>
                <w:szCs w:val="8"/>
              </w:rPr>
            </w:r>
          </w:p>
        </w:tc>
      </w:tr>
      <w:tr>
        <w:trPr/>
        <w:tc>
          <w:tcPr>
            <w:tcW w:w="5217" w:type="dxa"/>
            <w:tcBorders/>
            <w:shd w:color="auto" w:fill="F2DBDB" w:themeFill="accent2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Экономический</w:t>
            </w:r>
          </w:p>
        </w:tc>
        <w:tc>
          <w:tcPr>
            <w:tcW w:w="9060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Своевременная отчетность.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Рациональное использование трудовых ресурсов.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Разработка «технологической карты управления», включающей в себя циклограммы деятельности по разным направлениям.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Сферы улучшения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tbl>
      <w:tblPr>
        <w:tblStyle w:val="a3"/>
        <w:tblW w:w="142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71"/>
        <w:gridCol w:w="10006"/>
      </w:tblGrid>
      <w:tr>
        <w:trPr/>
        <w:tc>
          <w:tcPr>
            <w:tcW w:w="4271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Сферы улучшения</w:t>
            </w:r>
          </w:p>
        </w:tc>
        <w:tc>
          <w:tcPr>
            <w:tcW w:w="10006" w:type="dxa"/>
            <w:tcBorders/>
            <w:shd w:color="auto" w:fill="C2D69B" w:themeFill="accent3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Какие действия для этого необходимо предпринять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71" w:type="dxa"/>
            <w:tcBorders/>
            <w:shd w:color="auto" w:fill="F2DBDB" w:themeFill="accent2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C00000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Кадры</w:t>
            </w:r>
          </w:p>
        </w:tc>
        <w:tc>
          <w:tcPr>
            <w:tcW w:w="10006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Обеспечить комфортные условия для работы.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Способствовать повышению профессиональной компетентности педагогов (своевременное прохождение процедуры аттестации, курсов повышения квалификации).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271" w:type="dxa"/>
            <w:tcBorders/>
            <w:shd w:color="auto" w:fill="F2DBDB" w:themeFill="accent2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положительного имиджа ДОУ</w:t>
            </w:r>
          </w:p>
        </w:tc>
        <w:tc>
          <w:tcPr>
            <w:tcW w:w="10006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Продолжать реализацию Программы развития ДОУ.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Планомерно осуществлять реализацию «Дорожной карты».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Активизировать всех участников образовательного процесса на участие в конкурсах разного уровня.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Обеспечить функционирование официального Сайта ДОУ, официальной группы в социальной сети в ВКонтакте «Детский сад № 5 «Ромашка»» (имеет статус Госорганизация), официального канала организации на платформе МАХ.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Освещать деятельность ДОУ в рамках различных общественных мероприятий, в СМИ и т.д.</w:t>
            </w:r>
          </w:p>
        </w:tc>
      </w:tr>
      <w:tr>
        <w:trPr/>
        <w:tc>
          <w:tcPr>
            <w:tcW w:w="4271" w:type="dxa"/>
            <w:tcBorders/>
            <w:shd w:color="auto" w:fill="F2DBDB" w:themeFill="accent2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Активизация работы органов государственно-общественного управления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06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Отрегулировать деятельность Управляющего совета ДОУ. Привлечение общественности к делам и проблемам ДОУ в соответствии с приоритетом детского сада и его годовых задач, повышение открытости образовательной системы в ДОУ.</w:t>
            </w:r>
          </w:p>
        </w:tc>
      </w:tr>
    </w:tbl>
    <w:p>
      <w:pPr>
        <w:pStyle w:val="ConsPlusNormal"/>
        <w:shd w:val="clear" w:color="auto" w:fill="FFFFFF" w:themeFill="background1"/>
        <w:jc w:val="center"/>
        <w:rPr>
          <w:rFonts w:ascii="Times New Roman" w:hAnsi="Times New Roman" w:eastAsia="Calibri" w:cs="Times New Roman" w:eastAsiaTheme="minorHAnsi"/>
          <w:b/>
          <w:color w:val="C00000"/>
          <w:sz w:val="26"/>
          <w:szCs w:val="26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color w:val="C00000"/>
          <w:sz w:val="26"/>
          <w:szCs w:val="26"/>
          <w:lang w:eastAsia="en-US"/>
        </w:rPr>
      </w:r>
    </w:p>
    <w:p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color w:themeColor="accent6" w:themeShade="bf" w:val="E36C0A"/>
          <w:sz w:val="26"/>
          <w:szCs w:val="26"/>
        </w:rPr>
      </w:pPr>
      <w:r>
        <w:rPr>
          <w:rFonts w:cs="Times New Roman" w:ascii="Times New Roman" w:hAnsi="Times New Roman"/>
          <w:b/>
          <w:bCs/>
          <w:color w:themeColor="accent6" w:themeShade="bf" w:val="E36C0A"/>
          <w:sz w:val="26"/>
          <w:szCs w:val="26"/>
        </w:rPr>
      </w:r>
    </w:p>
    <w:p>
      <w:pPr>
        <w:pStyle w:val="ConsPlusNormal"/>
        <w:shd w:val="clear" w:color="auto" w:fill="FFFFFF" w:themeFill="background1"/>
        <w:spacing w:lineRule="auto" w:line="360"/>
        <w:rPr>
          <w:rFonts w:ascii="Times New Roman" w:hAnsi="Times New Roman" w:cs="Times New Roman"/>
          <w:b/>
          <w:bCs/>
          <w:color w:themeColor="accent6" w:themeShade="bf" w:val="E36C0A"/>
          <w:sz w:val="80"/>
          <w:szCs w:val="80"/>
        </w:rPr>
      </w:pPr>
      <w:r>
        <w:rPr>
          <w:rFonts w:cs="Times New Roman" w:ascii="Times New Roman" w:hAnsi="Times New Roman"/>
          <w:b/>
          <w:bCs/>
          <w:color w:themeColor="accent6" w:themeShade="bf" w:val="E36C0A"/>
          <w:sz w:val="80"/>
          <w:szCs w:val="80"/>
        </w:rPr>
      </w:r>
    </w:p>
    <w:p>
      <w:pPr>
        <w:pStyle w:val="ConsPlusNormal"/>
        <w:shd w:val="clear" w:color="auto" w:fill="FFFFFF" w:themeFill="background1"/>
        <w:spacing w:lineRule="auto" w:line="360"/>
        <w:rPr>
          <w:rFonts w:ascii="Times New Roman" w:hAnsi="Times New Roman" w:cs="Times New Roman"/>
          <w:b/>
          <w:bCs/>
          <w:color w:themeColor="accent6" w:themeShade="bf" w:val="E36C0A"/>
          <w:sz w:val="16"/>
          <w:szCs w:val="16"/>
        </w:rPr>
      </w:pPr>
      <w:r>
        <w:rPr>
          <w:rFonts w:cs="Times New Roman" w:ascii="Times New Roman" w:hAnsi="Times New Roman"/>
          <w:b/>
          <w:bCs/>
          <w:color w:themeColor="accent6" w:themeShade="bf" w:val="E36C0A"/>
          <w:sz w:val="16"/>
          <w:szCs w:val="16"/>
        </w:rPr>
      </w:r>
    </w:p>
    <w:p>
      <w:pPr>
        <w:pStyle w:val="ConsPlusNormal"/>
        <w:shd w:val="clear" w:color="auto" w:fill="FFFFFF" w:themeFill="background1"/>
        <w:spacing w:lineRule="auto" w:line="360"/>
        <w:rPr>
          <w:rFonts w:ascii="Times New Roman" w:hAnsi="Times New Roman" w:cs="Times New Roman"/>
          <w:b/>
          <w:bCs/>
          <w:color w:themeColor="accent6" w:themeShade="bf" w:val="E36C0A"/>
          <w:sz w:val="80"/>
          <w:szCs w:val="80"/>
        </w:rPr>
      </w:pPr>
      <w:r>
        <w:rPr>
          <w:rFonts w:cs="Times New Roman" w:ascii="Times New Roman" w:hAnsi="Times New Roman"/>
          <w:b/>
          <w:bCs/>
          <w:color w:themeColor="accent6" w:themeShade="bf" w:val="E36C0A"/>
          <w:sz w:val="80"/>
          <w:szCs w:val="80"/>
        </w:rPr>
      </w:r>
    </w:p>
    <w:p>
      <w:pPr>
        <w:pStyle w:val="ConsPlusNormal"/>
        <w:shd w:val="clear" w:color="auto" w:fill="FFFFFF" w:themeFill="background1"/>
        <w:spacing w:lineRule="auto" w:line="360"/>
        <w:jc w:val="center"/>
        <w:rPr>
          <w:rFonts w:ascii="Times New Roman" w:hAnsi="Times New Roman" w:cs="Times New Roman"/>
          <w:b/>
          <w:bCs/>
          <w:color w:themeColor="accent6" w:themeShade="bf" w:val="E36C0A"/>
          <w:sz w:val="80"/>
          <w:szCs w:val="80"/>
        </w:rPr>
      </w:pPr>
      <w:r>
        <w:rPr>
          <w:rFonts w:cs="Times New Roman" w:ascii="Times New Roman" w:hAnsi="Times New Roman"/>
          <w:b/>
          <w:bCs/>
          <w:color w:themeColor="accent6" w:themeShade="bf" w:val="E36C0A"/>
          <w:sz w:val="80"/>
          <w:szCs w:val="80"/>
          <w:lang w:val="en-US"/>
        </w:rPr>
        <w:t>II</w:t>
      </w:r>
      <w:r>
        <w:rPr>
          <w:rFonts w:cs="Times New Roman" w:ascii="Times New Roman" w:hAnsi="Times New Roman"/>
          <w:b/>
          <w:bCs/>
          <w:color w:themeColor="accent6" w:themeShade="bf" w:val="E36C0A"/>
          <w:sz w:val="80"/>
          <w:szCs w:val="80"/>
        </w:rPr>
        <w:t xml:space="preserve"> ЧАСТЬ</w:t>
      </w:r>
    </w:p>
    <w:p>
      <w:pPr>
        <w:pStyle w:val="ConsPlusNormal"/>
        <w:shd w:val="clear" w:color="auto" w:fill="FFFFFF" w:themeFill="background1"/>
        <w:spacing w:lineRule="auto" w:line="360"/>
        <w:jc w:val="center"/>
        <w:rPr>
          <w:rFonts w:ascii="Times New Roman" w:hAnsi="Times New Roman" w:cs="Times New Roman"/>
          <w:b/>
          <w:bCs/>
          <w:color w:themeColor="accent6" w:themeShade="bf" w:val="E36C0A"/>
          <w:sz w:val="48"/>
          <w:szCs w:val="48"/>
        </w:rPr>
      </w:pPr>
      <w:r>
        <w:rPr>
          <w:rFonts w:cs="Times New Roman" w:ascii="Times New Roman" w:hAnsi="Times New Roman"/>
          <w:b/>
          <w:bCs/>
          <w:color w:themeColor="accent6" w:themeShade="bf" w:val="E36C0A"/>
          <w:sz w:val="48"/>
          <w:szCs w:val="48"/>
        </w:rPr>
      </w:r>
    </w:p>
    <w:p>
      <w:pPr>
        <w:pStyle w:val="ConsPlusNormal"/>
        <w:shd w:val="clear" w:color="auto" w:fill="FFFFFF" w:themeFill="background1"/>
        <w:spacing w:lineRule="auto" w:line="360"/>
        <w:jc w:val="center"/>
        <w:rPr>
          <w:rFonts w:ascii="Times New Roman" w:hAnsi="Times New Roman" w:cs="Times New Roman"/>
          <w:b/>
          <w:bCs/>
          <w:color w:themeColor="accent6" w:themeShade="bf" w:val="E36C0A"/>
          <w:sz w:val="68"/>
          <w:szCs w:val="68"/>
        </w:rPr>
      </w:pPr>
      <w:r>
        <w:rPr>
          <w:rFonts w:cs="Times New Roman" w:ascii="Times New Roman" w:hAnsi="Times New Roman"/>
          <w:b/>
          <w:bCs/>
          <w:color w:themeColor="accent6" w:themeShade="bf" w:val="E36C0A"/>
          <w:sz w:val="68"/>
          <w:szCs w:val="68"/>
        </w:rPr>
        <w:t>РЕЗУЛЬТАТЫ</w:t>
      </w:r>
    </w:p>
    <w:p>
      <w:pPr>
        <w:pStyle w:val="ConsPlusNormal"/>
        <w:shd w:val="clear" w:color="auto" w:fill="FFFFFF" w:themeFill="background1"/>
        <w:spacing w:lineRule="auto" w:line="360"/>
        <w:jc w:val="center"/>
        <w:rPr>
          <w:rFonts w:ascii="Times New Roman" w:hAnsi="Times New Roman" w:cs="Times New Roman"/>
          <w:b/>
          <w:bCs/>
          <w:color w:themeColor="accent6" w:themeShade="bf" w:val="E36C0A"/>
          <w:sz w:val="68"/>
          <w:szCs w:val="68"/>
        </w:rPr>
      </w:pPr>
      <w:r>
        <w:rPr>
          <w:rFonts w:cs="Times New Roman" w:ascii="Times New Roman" w:hAnsi="Times New Roman"/>
          <w:b/>
          <w:bCs/>
          <w:color w:themeColor="accent6" w:themeShade="bf" w:val="E36C0A"/>
          <w:sz w:val="68"/>
          <w:szCs w:val="68"/>
        </w:rPr>
        <w:t xml:space="preserve"> </w:t>
      </w:r>
      <w:r>
        <w:rPr>
          <w:rFonts w:cs="Times New Roman" w:ascii="Times New Roman" w:hAnsi="Times New Roman"/>
          <w:b/>
          <w:bCs/>
          <w:color w:themeColor="accent6" w:themeShade="bf" w:val="E36C0A"/>
          <w:sz w:val="68"/>
          <w:szCs w:val="68"/>
        </w:rPr>
        <w:t>АНАЛИЗА ПОКАЗАТЕЛЕЙ ДЕЯТЕЛЬНОСТИ ДОУ</w:t>
      </w:r>
    </w:p>
    <w:p>
      <w:pPr>
        <w:pStyle w:val="Normal"/>
        <w:keepLines/>
        <w:spacing w:lineRule="auto" w:line="360" w:before="0"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cs="Times New Roman" w:ascii="Times New Roman" w:hAnsi="Times New Roman"/>
          <w:b/>
          <w:color w:val="C00000"/>
          <w:sz w:val="24"/>
          <w:szCs w:val="24"/>
        </w:rPr>
      </w:r>
    </w:p>
    <w:p>
      <w:pPr>
        <w:pStyle w:val="Normal"/>
        <w:keepLines/>
        <w:spacing w:lineRule="auto" w:line="360" w:before="0"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cs="Times New Roman" w:ascii="Times New Roman" w:hAnsi="Times New Roman"/>
          <w:b/>
          <w:color w:val="C00000"/>
          <w:sz w:val="24"/>
          <w:szCs w:val="24"/>
        </w:rPr>
      </w:r>
    </w:p>
    <w:p>
      <w:pPr>
        <w:pStyle w:val="Normal"/>
        <w:keepLines/>
        <w:spacing w:lineRule="auto" w:line="360" w:before="0"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cs="Times New Roman" w:ascii="Times New Roman" w:hAnsi="Times New Roman"/>
          <w:b/>
          <w:color w:val="C00000"/>
          <w:sz w:val="24"/>
          <w:szCs w:val="24"/>
        </w:rPr>
      </w:r>
    </w:p>
    <w:p>
      <w:pPr>
        <w:pStyle w:val="Normal"/>
        <w:keepLines/>
        <w:spacing w:lineRule="auto" w:line="360" w:before="0"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cs="Times New Roman" w:ascii="Times New Roman" w:hAnsi="Times New Roman"/>
          <w:b/>
          <w:color w:val="C00000"/>
          <w:sz w:val="24"/>
          <w:szCs w:val="24"/>
        </w:rPr>
      </w:r>
    </w:p>
    <w:p>
      <w:pPr>
        <w:pStyle w:val="Normal"/>
        <w:keepLines/>
        <w:spacing w:lineRule="auto" w:line="360" w:before="0"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cs="Times New Roman" w:ascii="Times New Roman" w:hAnsi="Times New Roman"/>
          <w:b/>
          <w:color w:val="C00000"/>
          <w:sz w:val="24"/>
          <w:szCs w:val="24"/>
        </w:rPr>
      </w:r>
    </w:p>
    <w:p>
      <w:pPr>
        <w:pStyle w:val="Normal"/>
        <w:keepLines/>
        <w:spacing w:lineRule="auto" w:line="360" w:before="0"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cs="Times New Roman" w:ascii="Times New Roman" w:hAnsi="Times New Roman"/>
          <w:b/>
          <w:color w:val="C00000"/>
          <w:sz w:val="24"/>
          <w:szCs w:val="24"/>
        </w:rPr>
      </w:r>
    </w:p>
    <w:p>
      <w:pPr>
        <w:pStyle w:val="Normal"/>
        <w:keepLines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1.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C00000"/>
          <w:sz w:val="28"/>
          <w:szCs w:val="28"/>
        </w:rPr>
        <w:t>ЭФФЕКТИВНОСТЬ РАБОТЫ ДОУ</w:t>
      </w:r>
    </w:p>
    <w:p>
      <w:pPr>
        <w:pStyle w:val="Normal"/>
        <w:keepLines/>
        <w:spacing w:lineRule="auto" w:line="240" w:before="0" w:after="0"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keepLines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ДОУ является эффективно работающим образовательным учреждением, результаты работы которого соответствуют требованиям муниципального задания, ценится потребителями образовательных услуг и партнёрами. Содержание образовательной работы в ДОУ соответствует требованиям социального заказа (родителей (законных представителей) обучающихся, школы).</w:t>
      </w:r>
    </w:p>
    <w:p>
      <w:pPr>
        <w:pStyle w:val="Normal"/>
        <w:keepLines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ДОУ создает оптимальные условия для всестороннего развития личности ребенка путем единства обучения, развития и воспитания. </w:t>
      </w:r>
      <w:r>
        <w:rPr>
          <w:rFonts w:ascii="Times New Roman" w:hAnsi="Times New Roman"/>
          <w:sz w:val="28"/>
          <w:szCs w:val="28"/>
        </w:rPr>
        <w:t>Образовательный процесс в ДОУ имеет развивающий и корригирующий характер, отмечается гибкостью, ориентированностью на возрастные и индивидуально-психологические особенности детей.</w:t>
      </w:r>
    </w:p>
    <w:p>
      <w:pPr>
        <w:pStyle w:val="Normal"/>
        <w:keepLines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Несмотря на имеющиеся финансовые трудности ДОУ сохранило и поддерживает в хорошем состоянии материально-техническую базу, постоянно пополняет и обновляет её.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В работе ДОУ отмечаются следующие устойчивые «плюсы»: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наблюдается положительная динамика результатов усвоения воспитанниками ДОУ Программы;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опыт работы  ДОУ  ежегодно  представляется  на  методических  объединениях  и семинарах педагогических и руководящих работников дошкольных образовательных учреждений города;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тесная взаимосвязь и сотрудничество с социумом;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формирование активной жизненной позиции у обучающихся через участие в конкурсах разного уровня;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анализ  результатов  анкетирования показывает,  что  ДОУ  является  привлекательным   для  обучающихся и их родителей. В ДОУ дети чувствуют себя комфортно, родители проявляют интерес и активно участвуют во всех совместных мероприятиях.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Приоритеты развития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1.</w:t>
      </w:r>
      <w:r>
        <w:rPr>
          <w:rFonts w:cs="Times New Roman" w:ascii="Times New Roman" w:hAnsi="Times New Roman"/>
          <w:b/>
          <w:color w:val="C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Повышение качества образовательного процесса:</w:t>
      </w:r>
    </w:p>
    <w:p>
      <w:pPr>
        <w:pStyle w:val="ListParagraph"/>
        <w:spacing w:lineRule="auto" w:line="240" w:before="0" w:after="0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создание условий для успешной реализации Программы в соответствии с ФГОС ДО и ФОП ДО;</w:t>
      </w:r>
    </w:p>
    <w:p>
      <w:pPr>
        <w:pStyle w:val="ListParagraph"/>
        <w:spacing w:lineRule="auto" w:line="240" w:before="0" w:after="0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разработка и реализация индивидуальных образовательных маршрутов для воспитанников, испытывающих трудности в усвоении программного материала, а также для детей, одаренных в той или иной области;</w:t>
      </w:r>
    </w:p>
    <w:p>
      <w:pPr>
        <w:pStyle w:val="ListParagraph"/>
        <w:spacing w:lineRule="auto" w:line="240" w:before="0" w:after="0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обеспечение  преемственности  дошкольного  и  начального  школьного  образования,  создание  предпосылок  для успешной адаптации выпускников ДОУ к обучению в школе.</w:t>
      </w:r>
    </w:p>
    <w:p>
      <w:pPr>
        <w:pStyle w:val="ListParagraph"/>
        <w:spacing w:lineRule="auto" w:line="240" w:before="0" w:after="0"/>
        <w:ind w:left="284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Совершенствование системы управления: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активизация участия родительской общественности в управлении ДОУ, отработка механизма деятельности Управляющего совета ДОУ;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совершенствование системы управленческого мониторинга эффективности деятельности ДОУ;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установление прямых связей с учреждениями и организациями в целях оказания содействия в выполнении стоящих перед ДОУ задач.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Повышение кадрового потенциала: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стимулирование постоянного роста профессионального уровня педагогов ДОУ;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повышение привлекательности ДОУ для молодых специалистов;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внедрение в практику работы ДОУ инновационных педагогических технологий;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совершенствование  штатного  расписания  (введение  новых  должностей – психолога,  тренера  по физической культуре и др.).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Совершенствование системы взаимодействия и сотрудничества с семьями воспитанников: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повышение престижа ДОУ среди родителей (законных представителей) воспитанников;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активное вовлечение родительской общественности в деятельность ДОУ;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дифференциация работы с семьями воспитанников, организация профилактической работы с семьями из группы риска.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Обеспечение безопасности ДОУ: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совершенствование нормативно-правовой базы;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своевременное выполнение предписаний надзорных органов;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повышение  уровня  компетентности  работников   в   области  обеспечения   безопасности  организации образовательного процесса и повышение персональной ответственности за обеспечение безопасности жизни и здоровья воспитанников.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Укрепление материально-технической базы: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приведение материально-технической базы в полное соответствие требованиям Программы, ФГОС ДО и ФОП ДО, действующих СанПиН, пожарной и антитеррористической безопасности;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рациональное  использование  имеющихся  бюджетных  средств  и  поиск  законных  альтернативных  источников финансирования.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2. УЛУЧШЕНИЕ КАЧЕСТВА РАБОТЫ ДОУ (ЗА ПОСЛЕДНИЕ ТРИ ГОДА)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tbl>
      <w:tblPr>
        <w:tblStyle w:val="a3"/>
        <w:tblW w:w="142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08"/>
        <w:gridCol w:w="2897"/>
        <w:gridCol w:w="2493"/>
        <w:gridCol w:w="2713"/>
        <w:gridCol w:w="3167"/>
      </w:tblGrid>
      <w:tr>
        <w:trPr/>
        <w:tc>
          <w:tcPr>
            <w:tcW w:w="3008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Параметры</w:t>
            </w:r>
          </w:p>
        </w:tc>
        <w:tc>
          <w:tcPr>
            <w:tcW w:w="2897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(неудовлетворительно)</w:t>
            </w:r>
          </w:p>
        </w:tc>
        <w:tc>
          <w:tcPr>
            <w:tcW w:w="2493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(удовлетворительно)</w:t>
            </w:r>
          </w:p>
        </w:tc>
        <w:tc>
          <w:tcPr>
            <w:tcW w:w="2713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(хорошо)</w:t>
            </w:r>
          </w:p>
        </w:tc>
        <w:tc>
          <w:tcPr>
            <w:tcW w:w="3167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(отлично)</w:t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у детей дошкольного возраста предпосылок к учебной деятельности на этапе завершения ими дошкольного образования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 всех выпускников ДОУ (1</w:t>
            </w: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00%)</w:t>
            </w: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полностью сформированы предпосылки к учебной деятельности.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Регулярность проведения мониторинговых исследований по выявлению потребностей и удовлетворенности родителей (законных представителей) реализуемой в ДОУ образовательной программой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Исследования проводятся не менее одного раза в год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Степень удовлетворенности родителей (законных представителей) реализуемой ДОУ образовательной программой (средний показатель за три последних учебных года)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98 % родителей удовлетворены реализуемой в ДОУ Программы</w:t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Мониторинг эффективности реализации основной образовательной программы ДОУ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Мониторинг реализации Программы осуществляется на основе педагогических наблюдений за детьми в различные периоды пребывания их в ДОУ, анализа продуктов детской деятельности, бесед, дидактических игр и упражнений, анкетирования и интервьюирования родителей как экспертов в отношении особенностей их ребенка.</w:t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Посещаемость ребенком группы ДОУ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2023 год – 68%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2024 год – 83%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2025 год – 71%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Динамика посещаемости имеет нестабильный характер, что объясняется рядом причин:</w:t>
            </w:r>
          </w:p>
          <w:p>
            <w:pPr>
              <w:pStyle w:val="ListParagraph"/>
              <w:widowControl/>
              <w:numPr>
                <w:ilvl w:val="0"/>
                <w:numId w:val="17"/>
              </w:numPr>
              <w:suppressAutoHyphens w:val="true"/>
              <w:spacing w:lineRule="auto" w:line="240" w:before="0" w:after="0"/>
              <w:ind w:hanging="173" w:left="173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 группы закрывались на карантин из-за увеличения количества заболевших;</w:t>
            </w:r>
          </w:p>
          <w:p>
            <w:pPr>
              <w:pStyle w:val="ListParagraph"/>
              <w:widowControl/>
              <w:numPr>
                <w:ilvl w:val="0"/>
                <w:numId w:val="17"/>
              </w:numPr>
              <w:suppressAutoHyphens w:val="true"/>
              <w:spacing w:lineRule="auto" w:line="240" w:before="0" w:after="0"/>
              <w:ind w:hanging="173" w:left="173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по-прежнему большое количество дней выпадает из-за летних отпусков.</w:t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Регулярность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проведения мониторинговых исследований по выявлению удовлетворенности родителей (законных представителей) обеспечением присмотра и ухода в ДОУ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Исследования проводятся регулярно не менее 1 раз в год.</w:t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Участие педагогов в конкурсах/грантах: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муниципальный уровень,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региональный уровень,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федеральный уровень,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международный уровень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color w:val="000000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Педагоги регулярно принимают участие в конкурсах разного уровня и занимают призовые места.</w:t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Публикация опыта работы педагогов ДОО: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муниципальный уровень,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региональный уровень,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федеральный уровень,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международный уровень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0 баллов</w:t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Посещение родителями (законными представителями) обучающихся родительских собраний в ДОО (за последние три года)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Наблюдается устойчивая положительная динамика посещения родителями (законными представителями) обучающихся родительских собраний в ДОУ – 65-75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%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Участие родителей (законных представителей) в мероприятиях ДОО (за последние три года)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Наблюдается устойчивая положительная динамика участия родителей (законных представителей) в различных мероприятиях, проводимых в ДОУ: мастер-классы, совместные выставки творческих работ, конкурсы, праздники, досуги, развлечения, субботники и др. – 75-9</w:t>
            </w:r>
            <w:r>
              <w:rPr>
                <w:rFonts w:eastAsia="Calibri" w:cs="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0%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Добровольная финансовая, материальная помощь родителей (законных представителей)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Родители по необходимости оказывают безвозмездную помощь ДОУ.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Участие ДОУ в выставках, конкурсах, проектах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Приняли участие в следующих мероприятиях:</w:t>
            </w:r>
          </w:p>
          <w:p>
            <w:pPr>
              <w:pStyle w:val="BodyText"/>
              <w:spacing w:lineRule="auto" w:line="240" w:before="0" w:after="200"/>
              <w:ind w:hanging="0" w:left="0" w:right="0"/>
              <w:rPr/>
            </w:pPr>
            <w:r>
              <w:rPr>
                <w:color w:val="000000"/>
                <w:sz w:val="24"/>
              </w:rPr>
              <w:t xml:space="preserve">-региональный конкурс «Светлый праздник»; </w:t>
            </w:r>
            <w:r>
              <w:rPr>
                <w:rFonts w:ascii="Nimbus Roman" w:hAnsi="Nimbus Roman"/>
                <w:color w:val="000000"/>
                <w:sz w:val="24"/>
              </w:rPr>
              <w:t>-</w:t>
            </w:r>
            <w:r>
              <w:rPr>
                <w:rFonts w:ascii="Nimbus Roman" w:hAnsi="Nimbus Roman"/>
                <w:color w:val="000000"/>
                <w:sz w:val="24"/>
                <w:shd w:fill="FFFFFF" w:val="clear"/>
              </w:rPr>
              <w:t xml:space="preserve">муниципальный конкурс </w:t>
            </w:r>
            <w:r>
              <w:rPr>
                <w:color w:val="000000"/>
                <w:sz w:val="24"/>
              </w:rPr>
              <w:t xml:space="preserve">«Семейная реликвия»;   -муниципальный конкурс «Именины у рябины» </w:t>
            </w:r>
            <w:r>
              <w:rPr>
                <w:rFonts w:ascii="Arial" w:hAnsi="Arial"/>
                <w:color w:val="000000"/>
                <w:sz w:val="22"/>
                <w:shd w:fill="FFFFFF" w:val="clear"/>
              </w:rPr>
              <w:t xml:space="preserve">-муниципальный конкурс </w:t>
            </w:r>
            <w:r>
              <w:rPr>
                <w:rFonts w:ascii="Nimbus Roman" w:hAnsi="Nimbus Roman"/>
                <w:color w:val="000000"/>
                <w:sz w:val="24"/>
                <w:shd w:fill="FFFFFF" w:val="clear"/>
              </w:rPr>
              <w:t>«Город в котором мы живём»;        -муниципальный конкурс «Новогодний калейдоскоп» -муниципальный конкурс «Рождественский подарок»; -муниципальный этап всероссийского конкурса экологических рисунков; -муниципальный конкурс «Путь в профессию»;</w:t>
            </w:r>
          </w:p>
          <w:p>
            <w:pPr>
              <w:pStyle w:val="BodyText"/>
              <w:spacing w:lineRule="auto" w:line="240" w:before="0" w:after="200"/>
              <w:ind w:hanging="0" w:left="0" w:right="0"/>
              <w:rPr/>
            </w:pPr>
            <w:r>
              <w:rPr>
                <w:rFonts w:ascii="Nimbus Roman" w:hAnsi="Nimbus Roman"/>
                <w:color w:val="000000"/>
                <w:sz w:val="24"/>
                <w:shd w:fill="FFFFFF" w:val="clear"/>
              </w:rPr>
              <w:t>- муниципальный конкурс «Охрана труда».</w:t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Соответствие деятельности ДОУ требованиям законодательства в сфере образования (отсутствие предписаний надзорных органов, объективных жалоб) – за предыдущий год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Нет предписаний.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Показатели качества образования, кадрового обеспечения информационно-технического оснащения ДОУ соответствуют требованиям нормативной документации.</w:t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Функционирование системы государственно-общественного управления в ДОУ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75% работников являются членами профсоюза, активно участвуют в общественной жизни и управлении ДОУ в пределах своей компетенции.</w:t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Реализация социокультурных проектов (музей, театр, научное общество, социальные проекты)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100% воспитанников ДОУ охвачены реализацией социокультурных проектов</w:t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Педагогическую поддержку получают 100% семей. В связи с отсутствием в штатном расписании ДОУ единицы психолога квалифицированная  психологическая поддержка не оказывается.</w:t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Участие в процедурах независимой оценки качества образования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ДОУ является участником процедур независимой оценки качества образования.</w:t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Соответствие результатов внутренней системы оценки качества образования результатам независимой системы оценки качества работы ДОУ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 последние три года отрицательной динамики не наблюдается.</w:t>
            </w:r>
          </w:p>
        </w:tc>
      </w:tr>
      <w:tr>
        <w:trPr/>
        <w:tc>
          <w:tcPr>
            <w:tcW w:w="3008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Регулярность и частота использования результатов управленческого мониторинга реализации разработанных программ в ДОУ</w:t>
            </w:r>
          </w:p>
        </w:tc>
        <w:tc>
          <w:tcPr>
            <w:tcW w:w="2897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3" w:type="dxa"/>
            <w:tcBorders/>
            <w:shd w:color="auto" w:fill="FFFF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3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Мониторинг реализации разработанных программ в ДОУ осуществляется регулярно, на основе анализа полученных результатов планируется дальнейшая работа ДОУ по всем направлениям.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3008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Средний балл:</w:t>
            </w:r>
          </w:p>
        </w:tc>
        <w:tc>
          <w:tcPr>
            <w:tcW w:w="11270" w:type="dxa"/>
            <w:gridSpan w:val="4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2,6 балла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i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Показатели стабильной положительной динамики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tbl>
      <w:tblPr>
        <w:tblStyle w:val="a3"/>
        <w:tblW w:w="142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32"/>
        <w:gridCol w:w="7745"/>
      </w:tblGrid>
      <w:tr>
        <w:trPr/>
        <w:tc>
          <w:tcPr>
            <w:tcW w:w="6532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Показатель</w:t>
            </w:r>
          </w:p>
        </w:tc>
        <w:tc>
          <w:tcPr>
            <w:tcW w:w="7745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Управленческие действия, обеспечившие стабильную положительную динамику</w:t>
            </w:r>
          </w:p>
        </w:tc>
      </w:tr>
      <w:tr>
        <w:trPr/>
        <w:tc>
          <w:tcPr>
            <w:tcW w:w="653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Положительная динамика результатов усвоения Программы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</w:tc>
        <w:tc>
          <w:tcPr>
            <w:tcW w:w="7745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Разработка системы мониторинга усвоения воспитанниками ДОУ Программы</w:t>
            </w:r>
          </w:p>
        </w:tc>
      </w:tr>
      <w:tr>
        <w:trPr/>
        <w:tc>
          <w:tcPr>
            <w:tcW w:w="6532" w:type="dxa"/>
            <w:tcBorders/>
            <w:shd w:color="auto" w:fill="F2DBDB" w:themeFill="accent2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Взаимосвязь и сотрудничество с социумом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</w:tc>
        <w:tc>
          <w:tcPr>
            <w:tcW w:w="7745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Заключение договоров о сотрудничестве</w:t>
            </w:r>
          </w:p>
        </w:tc>
      </w:tr>
      <w:tr>
        <w:trPr/>
        <w:tc>
          <w:tcPr>
            <w:tcW w:w="6532" w:type="dxa"/>
            <w:tcBorders/>
            <w:shd w:color="auto" w:fill="F2DBDB" w:themeFill="accent2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 Активная жизненная позиция обучающихся и педагогов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</w:tc>
        <w:tc>
          <w:tcPr>
            <w:tcW w:w="7745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 xml:space="preserve">Активизация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участия педагогов и воспитанников ДОУ в конкурсах разного уровня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</w:tc>
      </w:tr>
      <w:tr>
        <w:trPr/>
        <w:tc>
          <w:tcPr>
            <w:tcW w:w="653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 Привлекательность ДОУ для обучающихся и их родителей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</w:tc>
        <w:tc>
          <w:tcPr>
            <w:tcW w:w="7745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Анализ результатов соцопросов и анкетирования, своевременная коррекция деятельности ДОУ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</w:r>
          </w:p>
        </w:tc>
      </w:tr>
      <w:tr>
        <w:trPr/>
        <w:tc>
          <w:tcPr>
            <w:tcW w:w="6532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 Формирование компетентности педагогов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745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Обеспечение своевременного прохождения процедуры аттестации и курсов повышения квалификации.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Обобщение передового опыта работы и его представление на методических объединениях и семинарах педагогических и руководящих работников дошкольных образовательных учреждений города.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Показатели деятельности ДОУ, в которых необходимы прогрессивные изменения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tbl>
      <w:tblPr>
        <w:tblStyle w:val="a3"/>
        <w:tblW w:w="142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26"/>
        <w:gridCol w:w="8151"/>
      </w:tblGrid>
      <w:tr>
        <w:trPr/>
        <w:tc>
          <w:tcPr>
            <w:tcW w:w="6126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color w:themeColor="text1" w:val="000000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Показатель</w:t>
            </w:r>
          </w:p>
        </w:tc>
        <w:tc>
          <w:tcPr>
            <w:tcW w:w="815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color w:themeColor="text1" w:val="000000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Управленческие действия, направленные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на прогрессивные изменения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color w:themeColor="text1" w:val="000000"/>
                <w:sz w:val="16"/>
                <w:szCs w:val="16"/>
              </w:rPr>
            </w:r>
          </w:p>
        </w:tc>
      </w:tr>
      <w:tr>
        <w:trPr/>
        <w:tc>
          <w:tcPr>
            <w:tcW w:w="6126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Кадровая политика</w:t>
            </w:r>
          </w:p>
        </w:tc>
        <w:tc>
          <w:tcPr>
            <w:tcW w:w="815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Обеспечение благоприятных условий для работы педагогов.</w:t>
            </w:r>
          </w:p>
        </w:tc>
      </w:tr>
      <w:tr>
        <w:trPr/>
        <w:tc>
          <w:tcPr>
            <w:tcW w:w="6126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устойчивой положительной динамики в усвоении отдельных направлений Программы воспитанниками ДОУ</w:t>
            </w:r>
          </w:p>
        </w:tc>
        <w:tc>
          <w:tcPr>
            <w:tcW w:w="815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 xml:space="preserve">Совершенствование работы в ДОУ по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отдельным направлениям Программы</w:t>
            </w: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612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Охрана жизни и здоровья</w:t>
            </w:r>
          </w:p>
        </w:tc>
        <w:tc>
          <w:tcPr>
            <w:tcW w:w="815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Создание условий для эффективной работы медицинского персонала (ремонт в медицинском кабинете, приобретение нового медицинского оборудования).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Организация медицинского обслуживания на базе ДОУ специалистами ЦРБ.</w:t>
            </w:r>
          </w:p>
        </w:tc>
      </w:tr>
      <w:tr>
        <w:trPr/>
        <w:tc>
          <w:tcPr>
            <w:tcW w:w="612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Безопасность</w:t>
            </w:r>
          </w:p>
        </w:tc>
        <w:tc>
          <w:tcPr>
            <w:tcW w:w="815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themeColor="text1" w:val="000000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Приведение системы комплексной безопасности ДОУ в полное соответствие требованиям федерального законодательства.</w:t>
            </w:r>
          </w:p>
        </w:tc>
      </w:tr>
      <w:tr>
        <w:trPr/>
        <w:tc>
          <w:tcPr>
            <w:tcW w:w="612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Материально-техническая база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5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Составление плана финансово-хозяйственной деятельности с учетом потребности и планов развития ДОУ.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Обеспечение стабильности деятельности Управляющего совета ДОУ.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12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Взаимодействие с семьей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51" w:type="dxa"/>
            <w:tcBorders/>
            <w:shd w:color="auto" w:fill="DAEEF3" w:themeFill="accent5" w:themeFillTint="33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Мониторинг семей воспитанников для организации дифференцированного подхода к каждой конкретной семье.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работы с неорганизованными детьми и их семьями, выявление и контроль семей из группы риска.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Обеспечение функционирования официального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Сайта ДОУ с целью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повышения положительного имиджа ДОУ среди родительской общественности.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Активное вовлечение семей воспитанников в деятельность ДОУ.</w:t>
            </w:r>
          </w:p>
        </w:tc>
      </w:tr>
      <w:tr>
        <w:trPr/>
        <w:tc>
          <w:tcPr>
            <w:tcW w:w="6126" w:type="dxa"/>
            <w:tcBorders/>
            <w:shd w:color="auto" w:fill="F2DBDB" w:themeFill="accent2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Взаимодействие с социальными партнерами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51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Расширение круга социальных партнеров.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атмосферы заинтересованности друг другом.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Заключение договоров о сотрудничестве и разработка совместных планов работы.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Неразрешимые на уровне ДОУ проблемы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cs="Times New Roman" w:ascii="Times New Roman" w:hAnsi="Times New Roman"/>
          <w:b/>
          <w:color w:val="C00000"/>
          <w:sz w:val="16"/>
          <w:szCs w:val="16"/>
        </w:rPr>
      </w:r>
    </w:p>
    <w:tbl>
      <w:tblPr>
        <w:tblStyle w:val="a3"/>
        <w:tblW w:w="142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43"/>
        <w:gridCol w:w="8134"/>
      </w:tblGrid>
      <w:tr>
        <w:trPr/>
        <w:tc>
          <w:tcPr>
            <w:tcW w:w="6143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Проблема</w:t>
            </w:r>
          </w:p>
        </w:tc>
        <w:tc>
          <w:tcPr>
            <w:tcW w:w="8134" w:type="dxa"/>
            <w:tcBorders/>
            <w:shd w:color="auto" w:fill="D6E3BC" w:themeFill="accent3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Требующаяся внешняя помощь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themeColor="text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1777" w:hRule="atLeast"/>
        </w:trPr>
        <w:tc>
          <w:tcPr>
            <w:tcW w:w="6143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Кадровые проблемы:</w:t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катастрофическое старение педагогических кадров, отсутствие притока молодых специалистов;</w:t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отсутствие узких специалистов (психолог, тренер по физической культуре и др.).</w:t>
            </w:r>
          </w:p>
        </w:tc>
        <w:tc>
          <w:tcPr>
            <w:tcW w:w="813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Возврат к системе распределения выпускников педагогических учебных заведений.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Увеличение фонда оплаты труда.</w:t>
            </w:r>
          </w:p>
        </w:tc>
      </w:tr>
      <w:tr>
        <w:trPr/>
        <w:tc>
          <w:tcPr>
            <w:tcW w:w="6143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Несоответствие уровня материально-технической базы современным требованиям.</w:t>
            </w:r>
          </w:p>
        </w:tc>
        <w:tc>
          <w:tcPr>
            <w:tcW w:w="813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Увеличение финансирования на выполнение муниципального задания.</w:t>
            </w:r>
          </w:p>
        </w:tc>
      </w:tr>
      <w:tr>
        <w:trPr/>
        <w:tc>
          <w:tcPr>
            <w:tcW w:w="6143" w:type="dxa"/>
            <w:tcBorders/>
            <w:shd w:color="auto" w:fill="F2DBDB" w:themeFill="accent2" w:themeFillTint="33" w:val="clear"/>
          </w:tcPr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Недостаточный уровень безопасности ДОУ.</w:t>
            </w:r>
          </w:p>
          <w:p>
            <w:pPr>
              <w:pStyle w:val="Normal"/>
              <w:keepLines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34" w:type="dxa"/>
            <w:tcBorders/>
            <w:shd w:color="auto" w:fill="DAEEF3" w:themeFill="accent5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Выделение дополнительных денежных средств на проведение необходимых работ по повышению уровня безопасности ДОУ.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ConsPlusNormal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</w:r>
    </w:p>
    <w:p>
      <w:pPr>
        <w:pStyle w:val="ConsPlusNormal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Утверждены</w:t>
      </w:r>
    </w:p>
    <w:p>
      <w:pPr>
        <w:pStyle w:val="ConsPlusNormal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приказом Министерства образования</w:t>
      </w:r>
    </w:p>
    <w:p>
      <w:pPr>
        <w:pStyle w:val="ConsPlusNormal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и науки Российской Федерации</w:t>
      </w:r>
    </w:p>
    <w:p>
      <w:pPr>
        <w:pStyle w:val="ConsPlusNormal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от 10 декабря 2013 г. N 1324</w:t>
      </w:r>
    </w:p>
    <w:p>
      <w:pPr>
        <w:pStyle w:val="ConsPlusNormal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Приложение № 1</w:t>
      </w:r>
    </w:p>
    <w:p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14743" w:type="dxa"/>
        <w:jc w:val="left"/>
        <w:tblInd w:w="-67" w:type="dxa"/>
        <w:tblLayout w:type="fixed"/>
        <w:tblCellMar>
          <w:top w:w="0" w:type="dxa"/>
          <w:left w:w="75" w:type="dxa"/>
          <w:bottom w:w="0" w:type="dxa"/>
          <w:right w:w="75" w:type="dxa"/>
        </w:tblCellMar>
        <w:tblLook w:val="04a0" w:noHBand="0" w:noVBand="1" w:firstColumn="1" w:lastRow="0" w:lastColumn="0" w:firstRow="1"/>
      </w:tblPr>
      <w:tblGrid>
        <w:gridCol w:w="852"/>
        <w:gridCol w:w="9637"/>
        <w:gridCol w:w="4254"/>
      </w:tblGrid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themeFill="background2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themeFill="background2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  <w:t>Показатели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themeFill="background2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C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C00000"/>
                <w:sz w:val="24"/>
                <w:szCs w:val="24"/>
                <w:lang w:eastAsia="en-US"/>
              </w:rPr>
              <w:t>Образовательная деятельность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C00000"/>
                <w:sz w:val="24"/>
                <w:szCs w:val="24"/>
                <w:lang w:eastAsia="en-US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83 чел.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В режиме полного дня  (8 - 12 часов)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83 чел.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В режиме кратковременного пребывания (3 - 5 часов)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0 чел.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В семейной дошкольной группе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0 чел.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1.1.4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0 чел.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27 чел.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Общая численность воспитанников в возрасте от 3 до 8 лет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56чел.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83 чел. - 100%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1.4.1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В режиме полного дня (8 - 12 часов)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83 чел.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- 100%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1.4.2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В режиме продленного дня (12 - 14 часов)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0 чел. - 0%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1.4.3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В режиме круглосуточного пребывания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0 чел. - 0%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0 чел. - 0%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1.5.1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0 чел. - 0%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1.5.2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0 чел. - 0%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1.5.3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По присмотру и уходу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0 чел. - 0%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19,3дня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8 чел.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1.7.1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 чел. – 12,5%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1.7.2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 чел. – 12,5%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1.7.3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чел. – 87,5%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1.7.4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7 чел. – 87,5%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>5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 чел. – 62,5%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1.8.1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Высшая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 чел. – 25%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1.8.2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Первая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>4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 чел. – 50%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1.9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  <w:lang w:eastAsia="en-US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1.9.1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До 5 лет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 чел. – 25%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1.9.2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Свыше 30 лет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>5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 чел. – 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>62.5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1.10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0 чел.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 xml:space="preserve"> –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 0%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1.11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5 чел.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 xml:space="preserve"> – 62,5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1.12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за последние 3 года 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9 чел.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 xml:space="preserve"> –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 100%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1.13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9 чел.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 xml:space="preserve"> –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 100%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1.14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>8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/8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en-US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 чел.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  <w:lang w:eastAsia="en-US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1.15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  <w:lang w:eastAsia="en-US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1.15.1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Музыкального руководителя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1.15.2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Инструктора по физической культуре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1.15.3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Учителя-логопеда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1.15.4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Логопеда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1.15.5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Учителя-дефектолога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1.15.6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Педагога-психолога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  <w:p>
            <w:pPr>
              <w:pStyle w:val="ConsPlusNormal"/>
              <w:numPr>
                <w:ilvl w:val="0"/>
                <w:numId w:val="0"/>
              </w:numPr>
              <w:ind w:hanging="0" w:left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C00000"/>
                <w:sz w:val="24"/>
                <w:szCs w:val="24"/>
                <w:lang w:eastAsia="en-US"/>
              </w:rPr>
              <w:t>2</w:t>
            </w:r>
            <w:r>
              <w:rPr>
                <w:rFonts w:cs="Times New Roman" w:ascii="Times New Roman" w:hAnsi="Times New Roman"/>
                <w:b/>
                <w:color w:val="FF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C00000"/>
                <w:sz w:val="24"/>
                <w:szCs w:val="24"/>
                <w:lang w:eastAsia="en-US"/>
              </w:rPr>
              <w:t>Инфраструктура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C00000"/>
                <w:sz w:val="24"/>
                <w:szCs w:val="24"/>
                <w:lang w:eastAsia="en-US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99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  <w:lang w:eastAsia="en-US"/>
              </w:rPr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2,5 кв. м. для детей до 3 лет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 кв. м. для детей от 3 лет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Наличие физкультурного зала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совмещен с музыкальным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Наличие музыкального зала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  <w:tr>
        <w:trPr/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9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да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36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  <w:t>3. ВЫВОД</w:t>
      </w:r>
    </w:p>
    <w:p>
      <w:pPr>
        <w:pStyle w:val="Normal"/>
        <w:spacing w:lineRule="auto" w:line="240" w:before="0" w:after="0"/>
        <w:ind w:left="36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color w:val="C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Детский сад сегодня — это открытое пространство для детей, родителей, социума. Основная стратегия развития нашего дошкольного учреждения заключается в создании единой образовательной среды ДОУ, отвечающей современным требованиям воспитательно-образовательной работы с детьми и реализующей право каждого ребенка на качественное и доступное образование, обеспечивающей равные стартовые возможности для полноценного физического и психического развития детей, как основы их успешного обучения в школе.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работы за 2025 год можно сделать следующие </w:t>
      </w:r>
      <w:r>
        <w:rPr>
          <w:rFonts w:ascii="Times New Roman" w:hAnsi="Times New Roman"/>
          <w:b/>
          <w:i/>
          <w:sz w:val="28"/>
          <w:szCs w:val="28"/>
        </w:rPr>
        <w:t>выводы:</w:t>
      </w:r>
    </w:p>
    <w:p>
      <w:pPr>
        <w:pStyle w:val="ListParagraph"/>
        <w:keepLines/>
        <w:numPr>
          <w:ilvl w:val="0"/>
          <w:numId w:val="13"/>
        </w:numPr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процесс в ДОУ имеет развивающий и корригирующий характер, отмечается гибкостью, ориентированностью на возрастные и индивидуально-психологические особенности детей;</w:t>
      </w:r>
    </w:p>
    <w:p>
      <w:pPr>
        <w:pStyle w:val="Normal"/>
        <w:numPr>
          <w:ilvl w:val="0"/>
          <w:numId w:val="13"/>
        </w:numPr>
        <w:shd w:val="clear" w:color="auto" w:fill="FFFFFF"/>
        <w:spacing w:lineRule="auto" w:line="240" w:before="0" w:after="0"/>
        <w:jc w:val="both"/>
        <w:rPr>
          <w:rFonts w:ascii="yandex-sans" w:hAnsi="yandex-sans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содержание образовательной деятельности в ДОУ обеспечивает всестороннее развитие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детей раннего и дошкольного возраста </w:t>
      </w:r>
      <w:r>
        <w:rPr>
          <w:rFonts w:ascii="Times New Roman" w:hAnsi="Times New Roman"/>
          <w:sz w:val="28"/>
          <w:szCs w:val="28"/>
        </w:rPr>
        <w:t>и отвечает требованиям социального заказа: родителей (законных представителей) воспитанников, школы;</w:t>
      </w:r>
    </w:p>
    <w:p>
      <w:pPr>
        <w:pStyle w:val="Normal"/>
        <w:numPr>
          <w:ilvl w:val="0"/>
          <w:numId w:val="13"/>
        </w:numPr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укрепление материально-технической базы ДОУ и обеспечение образовательного процесса осуществляется на удовлетворительном уровне.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Приоритетные направления развития ДОУ в 2026 году:</w:t>
      </w:r>
    </w:p>
    <w:p>
      <w:pPr>
        <w:pStyle w:val="c12"/>
        <w:shd w:val="clear" w:color="auto" w:fill="FFFFFF"/>
        <w:spacing w:beforeAutospacing="0" w:before="0" w:afterAutospacing="0" w:after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1. Повысить конкурентоспособность ДОУ путём предоставления качественных образовательных и информационно-пространственных услуг, внедрение в практику новых форм работы, сетевого взаимодействия.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Совершенствование материально-технической базы.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Организация грамотной кадровой политики.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Активизация и расширение взаимодействия с социальными партнерами.</w:t>
      </w:r>
    </w:p>
    <w:p>
      <w:pPr>
        <w:pStyle w:val="c12"/>
        <w:shd w:val="clear" w:color="auto" w:fill="FFFFFF"/>
        <w:spacing w:beforeAutospacing="0" w:before="0" w:afterAutospacing="0" w:after="0"/>
        <w:jc w:val="both"/>
        <w:rPr>
          <w:rFonts w:ascii="Calibri" w:hAnsi="Calibri" w:asciiTheme="minorHAnsi" w:hAnsiTheme="minorHAnsi"/>
          <w:color w:val="000000"/>
        </w:rPr>
      </w:pPr>
      <w:r>
        <w:rPr>
          <w:sz w:val="28"/>
          <w:szCs w:val="28"/>
        </w:rPr>
        <w:t>5. Участие в инновационной деятельности.</w:t>
      </w:r>
      <w:r>
        <w:rPr>
          <w:rFonts w:ascii="PT Astra Serif" w:hAnsi="PT Astra Serif"/>
          <w:color w:val="000000"/>
        </w:rPr>
        <w:t xml:space="preserve"> 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6. Модернизация цифрового обучающего оборудования и программного обеспечения.</w:t>
      </w:r>
    </w:p>
    <w:p>
      <w:pPr>
        <w:pStyle w:val="c12"/>
        <w:shd w:val="clear" w:color="auto" w:fill="FFFFFF"/>
        <w:spacing w:beforeAutospacing="0" w:before="0" w:afterAutospacing="0" w:after="0"/>
        <w:jc w:val="both"/>
        <w:rPr>
          <w:rFonts w:ascii="Calibri" w:hAnsi="Calibri" w:asciiTheme="minorHAnsi" w:hAnsiTheme="minorHAnsi"/>
          <w:sz w:val="28"/>
          <w:szCs w:val="28"/>
        </w:rPr>
      </w:pPr>
      <w:r>
        <w:rPr>
          <w:rFonts w:asciiTheme="minorHAnsi" w:hAnsiTheme="minorHAnsi" w:ascii="Calibri" w:hAnsi="Calibri"/>
          <w:sz w:val="28"/>
          <w:szCs w:val="28"/>
        </w:rPr>
      </w:r>
    </w:p>
    <w:sectPr>
      <w:footerReference w:type="even" r:id="rId3"/>
      <w:footerReference w:type="default" r:id="rId4"/>
      <w:footerReference w:type="first" r:id="rId5"/>
      <w:type w:val="nextPage"/>
      <w:pgSz w:orient="landscape" w:w="16838" w:h="11906"/>
      <w:pgMar w:left="1700" w:right="849" w:gutter="0" w:header="0" w:top="999" w:footer="239" w:bottom="1090"/>
      <w:pgBorders w:display="allPages" w:offsetFrom="page">
        <w:top w:val="thickThinSmallGap" w:sz="24" w:space="17" w:color="FFFFFF"/>
        <w:left w:val="thickThinSmallGap" w:sz="24" w:space="24" w:color="FFFFFF"/>
        <w:bottom w:val="thickThinSmallGap" w:sz="24" w:space="7" w:color="FFFFFF"/>
        <w:right w:val="thickThinSmallGap" w:sz="24" w:space="24" w:color="FFFFFF"/>
      </w:pgBorders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Nimbus Roman">
    <w:charset w:val="01"/>
    <w:family w:val="auto"/>
    <w:pitch w:val="default"/>
  </w:font>
  <w:font w:name="YS Text">
    <w:altName w:val="apple-system"/>
    <w:charset w:val="01"/>
    <w:family w:val="roman"/>
    <w:pitch w:val="default"/>
  </w:font>
  <w:font w:name="yandex-sans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Book Antiqu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56085785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eastAsia="Calibri" w:cs="Times New Roman" w:eastAsiaTheme="minorHAnsi"/>
      </w:rPr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6031" w:hanging="360"/>
      </w:pPr>
      <w:rPr>
        <w:b/>
        <w:color w:themeColor="text1" w:val="000000"/>
      </w:rPr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numFmt w:val="bullet"/>
      <w:lvlText w:val="•"/>
      <w:lvlJc w:val="left"/>
      <w:pPr>
        <w:tabs>
          <w:tab w:val="num" w:pos="0"/>
        </w:tabs>
        <w:ind w:left="793" w:hanging="171"/>
      </w:pPr>
      <w:rPr>
        <w:rFonts w:ascii="Book Antiqua" w:hAnsi="Book Antiqua" w:cs="Book Antiqua" w:hint="default"/>
        <w:vertAlign w:val="subscript"/>
        <w:sz w:val="24"/>
        <w:szCs w:val="24"/>
        <w:w w:val="99"/>
        <w:color w:val="231F20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133" w:hanging="171"/>
      </w:pPr>
      <w:rPr>
        <w:rFonts w:ascii="Book Antiqua" w:hAnsi="Book Antiqua" w:cs="Book Antiqua" w:hint="default"/>
        <w:vertAlign w:val="subscript"/>
        <w:sz w:val="24"/>
        <w:szCs w:val="24"/>
        <w:w w:val="99"/>
        <w:color w:val="231F20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40" w:hanging="17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40" w:hanging="17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25" w:hanging="17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811" w:hanging="17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97" w:hanging="17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983" w:hanging="17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069" w:hanging="171"/>
      </w:pPr>
      <w:rPr>
        <w:rFonts w:ascii="Symbol" w:hAnsi="Symbol" w:cs="Symbol" w:hint="default"/>
      </w:rPr>
    </w:lvl>
  </w:abstractNum>
  <w:abstractNum w:abstractNumId="11">
    <w:lvl w:ilvl="0">
      <w:start w:val="7"/>
      <w:numFmt w:val="decimal"/>
      <w:lvlText w:val="%1."/>
      <w:lvlJc w:val="left"/>
      <w:pPr>
        <w:tabs>
          <w:tab w:val="num" w:pos="0"/>
        </w:tabs>
        <w:ind w:left="100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/>
    </w:lvl>
  </w:abstractNum>
  <w:abstractNum w:abstractNumId="12">
    <w:lvl w:ilvl="0">
      <w:start w:val="5"/>
      <w:numFmt w:val="decimal"/>
      <w:lvlText w:val="%1."/>
      <w:lvlJc w:val="left"/>
      <w:pPr>
        <w:tabs>
          <w:tab w:val="num" w:pos="0"/>
        </w:tabs>
        <w:ind w:left="100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/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10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5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64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42d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f5015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6f5015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a76cf5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147b25"/>
    <w:rPr/>
  </w:style>
  <w:style w:type="character" w:styleId="Style16" w:customStyle="1">
    <w:name w:val="Нижний колонтитул Знак"/>
    <w:basedOn w:val="DefaultParagraphFont"/>
    <w:uiPriority w:val="99"/>
    <w:qFormat/>
    <w:rsid w:val="00147b25"/>
    <w:rPr/>
  </w:style>
  <w:style w:type="character" w:styleId="Emphasis">
    <w:name w:val="Emphasis"/>
    <w:basedOn w:val="DefaultParagraphFont"/>
    <w:uiPriority w:val="20"/>
    <w:qFormat/>
    <w:rsid w:val="00af7be1"/>
    <w:rPr>
      <w:i/>
      <w:iCs/>
    </w:rPr>
  </w:style>
  <w:style w:type="character" w:styleId="Style17" w:customStyle="1">
    <w:name w:val="Основной текст Знак"/>
    <w:basedOn w:val="DefaultParagraphFont"/>
    <w:uiPriority w:val="1"/>
    <w:qFormat/>
    <w:rsid w:val="00f1729a"/>
    <w:rPr>
      <w:rFonts w:ascii="Times New Roman" w:hAnsi="Times New Roman" w:eastAsia="Times New Roman" w:cs="Times New Roman"/>
      <w:sz w:val="24"/>
      <w:szCs w:val="24"/>
      <w:lang w:eastAsia="ru-RU" w:bidi="ru-RU"/>
    </w:rPr>
  </w:style>
  <w:style w:type="character" w:styleId="c0" w:customStyle="1">
    <w:name w:val="c0"/>
    <w:basedOn w:val="DefaultParagraphFont"/>
    <w:qFormat/>
    <w:rsid w:val="00771fdd"/>
    <w:rPr/>
  </w:style>
  <w:style w:type="character" w:styleId="Style18">
    <w:name w:val="Маркеры"/>
    <w:qFormat/>
    <w:rPr>
      <w:rFonts w:ascii="OpenSymbol" w:hAnsi="OpenSymbol" w:eastAsia="OpenSymbol" w:cs="OpenSymbol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f1729a"/>
    <w:pPr>
      <w:widowControl w:val="false"/>
      <w:spacing w:lineRule="auto" w:line="240" w:before="0" w:after="0"/>
      <w:ind w:firstLine="566" w:left="112"/>
      <w:jc w:val="both"/>
    </w:pPr>
    <w:rPr>
      <w:rFonts w:ascii="Times New Roman" w:hAnsi="Times New Roman" w:eastAsia="Times New Roman" w:cs="Times New Roman"/>
      <w:sz w:val="24"/>
      <w:szCs w:val="24"/>
      <w:lang w:eastAsia="ru-RU" w:bidi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651027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6f501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msonormalcxspmiddle" w:customStyle="1">
    <w:name w:val="msonormalcxspmiddle"/>
    <w:basedOn w:val="Normal"/>
    <w:qFormat/>
    <w:rsid w:val="00c242c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a76c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147b2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147b2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 w:customStyle="1">
    <w:name w:val="ConsPlusNormal"/>
    <w:uiPriority w:val="99"/>
    <w:qFormat/>
    <w:rsid w:val="00ed7684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Default" w:customStyle="1">
    <w:name w:val="Default"/>
    <w:qFormat/>
    <w:rsid w:val="00ec78c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c12" w:customStyle="1">
    <w:name w:val="c12"/>
    <w:basedOn w:val="Normal"/>
    <w:qFormat/>
    <w:rsid w:val="00771f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Style2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c5231a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5C957-F570-43DC-9806-4E216907A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Application>LibreOffice/24.8.4.2$Linux_X86_64 LibreOffice_project/480$Build-2</Application>
  <AppVersion>15.0000</AppVersion>
  <Pages>62</Pages>
  <Words>10110</Words>
  <Characters>73192</Characters>
  <CharactersWithSpaces>85295</CharactersWithSpaces>
  <Paragraphs>1495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2024-03-11T12:20:00Z</dcterms:created>
  <dc:creator>1</dc:creator>
  <dc:description/>
  <dc:language>ru-RU</dc:language>
  <cp:lastModifiedBy/>
  <cp:lastPrinted>2026-04-03T14:18:23Z</cp:lastPrinted>
  <dcterms:modified xsi:type="dcterms:W3CDTF">2026-04-07T15:14:03Z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